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54458F" w14:textId="77777777" w:rsidR="00CD2796" w:rsidRPr="00E56D43" w:rsidRDefault="003E75B7">
      <w:pPr>
        <w:widowControl w:val="0"/>
        <w:autoSpaceDE w:val="0"/>
        <w:autoSpaceDN w:val="0"/>
        <w:adjustRightInd w:val="0"/>
        <w:spacing w:before="120" w:after="120" w:line="480" w:lineRule="exact"/>
        <w:jc w:val="center"/>
        <w:rPr>
          <w:b/>
          <w:bCs/>
          <w:sz w:val="28"/>
          <w:szCs w:val="28"/>
          <w:u w:val="single"/>
        </w:rPr>
      </w:pPr>
      <w:r w:rsidRPr="00E56D43">
        <w:rPr>
          <w:b/>
          <w:bCs/>
          <w:sz w:val="28"/>
          <w:szCs w:val="28"/>
          <w:u w:val="single"/>
        </w:rPr>
        <w:t xml:space="preserve">Allegato </w:t>
      </w:r>
      <w:r w:rsidR="007414CB" w:rsidRPr="00E56D43">
        <w:rPr>
          <w:b/>
          <w:bCs/>
          <w:sz w:val="28"/>
          <w:szCs w:val="28"/>
          <w:u w:val="single"/>
        </w:rPr>
        <w:t>G</w:t>
      </w:r>
    </w:p>
    <w:p w14:paraId="10FD6EBF" w14:textId="77777777" w:rsidR="00CD2796" w:rsidRDefault="003E75B7">
      <w:pPr>
        <w:widowControl w:val="0"/>
        <w:autoSpaceDE w:val="0"/>
        <w:autoSpaceDN w:val="0"/>
        <w:adjustRightInd w:val="0"/>
        <w:spacing w:before="120" w:after="120" w:line="480" w:lineRule="exact"/>
        <w:jc w:val="center"/>
        <w:rPr>
          <w:b/>
          <w:sz w:val="28"/>
          <w:szCs w:val="28"/>
        </w:rPr>
      </w:pPr>
      <w:r w:rsidRPr="003E75B7">
        <w:rPr>
          <w:b/>
          <w:bCs/>
          <w:sz w:val="28"/>
          <w:szCs w:val="28"/>
        </w:rPr>
        <w:t>M</w:t>
      </w:r>
      <w:r w:rsidR="008F4288" w:rsidRPr="003E75B7">
        <w:rPr>
          <w:b/>
          <w:sz w:val="28"/>
          <w:szCs w:val="28"/>
        </w:rPr>
        <w:t>odello dichiarazion</w:t>
      </w:r>
      <w:r w:rsidR="00AA702E">
        <w:rPr>
          <w:b/>
          <w:sz w:val="28"/>
          <w:szCs w:val="28"/>
        </w:rPr>
        <w:t>e</w:t>
      </w:r>
      <w:r w:rsidR="008F4288" w:rsidRPr="003E75B7">
        <w:rPr>
          <w:b/>
          <w:sz w:val="28"/>
          <w:szCs w:val="28"/>
        </w:rPr>
        <w:t xml:space="preserve"> </w:t>
      </w:r>
      <w:r w:rsidR="00AA702E">
        <w:rPr>
          <w:b/>
          <w:sz w:val="28"/>
          <w:szCs w:val="28"/>
        </w:rPr>
        <w:t xml:space="preserve">integrativa </w:t>
      </w:r>
      <w:r w:rsidR="00AA702E" w:rsidRPr="00AA702E">
        <w:rPr>
          <w:b/>
          <w:sz w:val="28"/>
          <w:szCs w:val="28"/>
        </w:rPr>
        <w:t xml:space="preserve">insussistenza cause di esclusione </w:t>
      </w:r>
    </w:p>
    <w:p w14:paraId="658E4929" w14:textId="77777777" w:rsidR="008F4288" w:rsidRPr="00E56D43" w:rsidRDefault="00AA702E">
      <w:pPr>
        <w:widowControl w:val="0"/>
        <w:autoSpaceDE w:val="0"/>
        <w:autoSpaceDN w:val="0"/>
        <w:adjustRightInd w:val="0"/>
        <w:spacing w:before="120" w:after="120" w:line="480" w:lineRule="exact"/>
        <w:jc w:val="center"/>
        <w:rPr>
          <w:b/>
          <w:sz w:val="28"/>
          <w:szCs w:val="28"/>
          <w:lang w:val="en-US"/>
        </w:rPr>
      </w:pPr>
      <w:r w:rsidRPr="00E56D43">
        <w:rPr>
          <w:b/>
          <w:sz w:val="28"/>
          <w:szCs w:val="28"/>
          <w:lang w:val="en-US"/>
        </w:rPr>
        <w:t xml:space="preserve">art. 80, </w:t>
      </w:r>
      <w:proofErr w:type="spellStart"/>
      <w:r w:rsidRPr="00E56D43">
        <w:rPr>
          <w:b/>
          <w:sz w:val="28"/>
          <w:szCs w:val="28"/>
          <w:lang w:val="en-US"/>
        </w:rPr>
        <w:t>d.lgs</w:t>
      </w:r>
      <w:proofErr w:type="spellEnd"/>
      <w:r w:rsidRPr="00E56D43">
        <w:rPr>
          <w:b/>
          <w:sz w:val="28"/>
          <w:szCs w:val="28"/>
          <w:lang w:val="en-US"/>
        </w:rPr>
        <w:t>.</w:t>
      </w:r>
      <w:r w:rsidR="00CD2796" w:rsidRPr="00E56D43">
        <w:rPr>
          <w:b/>
          <w:sz w:val="28"/>
          <w:szCs w:val="28"/>
          <w:lang w:val="en-US"/>
        </w:rPr>
        <w:t xml:space="preserve"> </w:t>
      </w:r>
      <w:r w:rsidR="00C16B96" w:rsidRPr="00E56D43">
        <w:rPr>
          <w:b/>
          <w:sz w:val="28"/>
          <w:szCs w:val="28"/>
          <w:lang w:val="en-US"/>
        </w:rPr>
        <w:t xml:space="preserve">n. </w:t>
      </w:r>
      <w:r w:rsidR="001A5418" w:rsidRPr="00E56D43">
        <w:rPr>
          <w:b/>
          <w:sz w:val="28"/>
          <w:szCs w:val="28"/>
          <w:lang w:val="en-US"/>
        </w:rPr>
        <w:t>50/</w:t>
      </w:r>
      <w:r w:rsidRPr="00E56D43">
        <w:rPr>
          <w:b/>
          <w:sz w:val="28"/>
          <w:szCs w:val="28"/>
          <w:lang w:val="en-US"/>
        </w:rPr>
        <w:t>16</w:t>
      </w:r>
      <w:r w:rsidR="00444798" w:rsidRPr="00E56D43">
        <w:rPr>
          <w:b/>
          <w:sz w:val="28"/>
          <w:szCs w:val="28"/>
          <w:lang w:val="en-US"/>
        </w:rPr>
        <w:t xml:space="preserve"> </w:t>
      </w:r>
      <w:proofErr w:type="spellStart"/>
      <w:r w:rsidR="00444798" w:rsidRPr="00E56D43">
        <w:rPr>
          <w:b/>
          <w:sz w:val="28"/>
          <w:szCs w:val="28"/>
          <w:lang w:val="en-US"/>
        </w:rPr>
        <w:t>s.m.i</w:t>
      </w:r>
      <w:proofErr w:type="spellEnd"/>
      <w:r w:rsidR="00444798" w:rsidRPr="00E56D43">
        <w:rPr>
          <w:b/>
          <w:sz w:val="28"/>
          <w:szCs w:val="28"/>
          <w:lang w:val="en-US"/>
        </w:rPr>
        <w:t>.</w:t>
      </w:r>
    </w:p>
    <w:p w14:paraId="1E999771" w14:textId="77777777" w:rsidR="00603EF6" w:rsidRPr="00E56D43" w:rsidRDefault="00603EF6">
      <w:pPr>
        <w:widowControl w:val="0"/>
        <w:autoSpaceDE w:val="0"/>
        <w:autoSpaceDN w:val="0"/>
        <w:adjustRightInd w:val="0"/>
        <w:spacing w:before="120" w:after="120" w:line="480" w:lineRule="exact"/>
        <w:jc w:val="center"/>
        <w:rPr>
          <w:b/>
          <w:sz w:val="28"/>
          <w:szCs w:val="28"/>
          <w:lang w:val="en-US"/>
        </w:rPr>
      </w:pPr>
    </w:p>
    <w:p w14:paraId="055392F6" w14:textId="77777777" w:rsidR="00E32CDC" w:rsidRPr="00E56D43" w:rsidRDefault="00E32CDC" w:rsidP="000456BC">
      <w:pPr>
        <w:pStyle w:val="Titolo2"/>
        <w:pBdr>
          <w:top w:val="single" w:sz="4" w:space="0" w:color="auto"/>
          <w:left w:val="single" w:sz="4" w:space="4" w:color="auto"/>
          <w:bottom w:val="single" w:sz="4" w:space="1" w:color="auto"/>
          <w:right w:val="single" w:sz="4" w:space="4" w:color="auto"/>
        </w:pBdr>
        <w:spacing w:line="360" w:lineRule="auto"/>
        <w:jc w:val="center"/>
        <w:rPr>
          <w:rFonts w:ascii="Times New Roman" w:hAnsi="Times New Roman"/>
          <w:b w:val="0"/>
          <w:caps/>
          <w:sz w:val="24"/>
          <w:szCs w:val="24"/>
          <w:lang w:val="en-US"/>
        </w:rPr>
      </w:pPr>
    </w:p>
    <w:p w14:paraId="47864065" w14:textId="07E3C6B1" w:rsidR="0074629D" w:rsidRDefault="0074629D" w:rsidP="0074629D">
      <w:pPr>
        <w:pStyle w:val="Titolo2"/>
        <w:pBdr>
          <w:top w:val="single" w:sz="4" w:space="0" w:color="auto"/>
          <w:left w:val="single" w:sz="4" w:space="4" w:color="auto"/>
          <w:bottom w:val="single" w:sz="4" w:space="1" w:color="auto"/>
          <w:right w:val="single" w:sz="4" w:space="4" w:color="auto"/>
        </w:pBdr>
        <w:spacing w:line="360" w:lineRule="auto"/>
        <w:jc w:val="center"/>
        <w:rPr>
          <w:rFonts w:ascii="Times New Roman" w:hAnsi="Times New Roman"/>
          <w:b w:val="0"/>
          <w:caps/>
          <w:sz w:val="24"/>
          <w:szCs w:val="24"/>
        </w:rPr>
      </w:pPr>
      <w:r w:rsidRPr="009C46C2">
        <w:rPr>
          <w:rFonts w:ascii="Times New Roman" w:hAnsi="Times New Roman"/>
          <w:b w:val="0"/>
          <w:caps/>
          <w:sz w:val="24"/>
          <w:szCs w:val="24"/>
        </w:rPr>
        <w:t xml:space="preserve">appalto di lavori ai sensi dell’art.59, comma 1, terzo periodo, d.lgs. 50/16 </w:t>
      </w:r>
      <w:r>
        <w:rPr>
          <w:rFonts w:ascii="Times New Roman" w:hAnsi="Times New Roman"/>
          <w:b w:val="0"/>
          <w:caps/>
          <w:sz w:val="24"/>
          <w:szCs w:val="24"/>
        </w:rPr>
        <w:t>AVENTE</w:t>
      </w:r>
      <w:r w:rsidRPr="009C46C2">
        <w:rPr>
          <w:rFonts w:ascii="Times New Roman" w:hAnsi="Times New Roman"/>
          <w:b w:val="0"/>
          <w:caps/>
          <w:sz w:val="24"/>
          <w:szCs w:val="24"/>
        </w:rPr>
        <w:t xml:space="preserve"> per oggetto l'esecuzione a corpo di tutte le opere e provviste occorrenti per realizzare e dare completamente ultimati i lavori di </w:t>
      </w:r>
      <w:r w:rsidRPr="009D3B9B">
        <w:rPr>
          <w:rFonts w:ascii="Times New Roman" w:hAnsi="Times New Roman"/>
          <w:caps/>
          <w:sz w:val="24"/>
          <w:szCs w:val="24"/>
        </w:rPr>
        <w:t>“Realizzazione di un nuovo polo scolastico a COSTIGLIOLE SALUZZO (CN), comprendente la scuola primaria, la scuola secondaria di primo grado e la palestra a servizio”,</w:t>
      </w:r>
      <w:r w:rsidRPr="009C46C2">
        <w:rPr>
          <w:rFonts w:ascii="Times New Roman" w:hAnsi="Times New Roman"/>
          <w:b w:val="0"/>
          <w:caps/>
          <w:sz w:val="24"/>
          <w:szCs w:val="24"/>
        </w:rPr>
        <w:t xml:space="preserve"> quali risultanti dal Progetto Esecutivo redatto in conformità all’art. 23, comma 8, d.lgs. 50/16, nonché agli artt. 33 e ss., dpr 207/10, validato dal RUP ai sensi dell’art. 26, comma 8, d.lgs. 50/16, approvato dal Comune </w:t>
      </w:r>
      <w:r>
        <w:rPr>
          <w:rFonts w:ascii="Times New Roman" w:hAnsi="Times New Roman"/>
          <w:b w:val="0"/>
          <w:caps/>
          <w:sz w:val="24"/>
          <w:szCs w:val="24"/>
        </w:rPr>
        <w:t xml:space="preserve">DI COSTIGLIOLE SALUZZO </w:t>
      </w:r>
      <w:r w:rsidRPr="009C46C2">
        <w:rPr>
          <w:rFonts w:ascii="Times New Roman" w:hAnsi="Times New Roman"/>
          <w:b w:val="0"/>
          <w:caps/>
          <w:sz w:val="24"/>
          <w:szCs w:val="24"/>
        </w:rPr>
        <w:t>e posto a base di gara e dettagliatamente descritte nel capitolato speciale di appalto-parte normativa e parte tecnica, parte integrante del progetto esecutivo posto a base di gara.</w:t>
      </w:r>
    </w:p>
    <w:p w14:paraId="2572139A" w14:textId="77777777" w:rsidR="00AA702E" w:rsidRPr="0046688E" w:rsidRDefault="00AA702E" w:rsidP="00AA702E">
      <w:pPr>
        <w:spacing w:line="490" w:lineRule="exact"/>
        <w:jc w:val="both"/>
      </w:pPr>
    </w:p>
    <w:p w14:paraId="2466C14E" w14:textId="77777777" w:rsidR="00E31087" w:rsidRDefault="00AA702E" w:rsidP="00AA702E">
      <w:pPr>
        <w:spacing w:line="490" w:lineRule="exact"/>
        <w:jc w:val="both"/>
        <w:rPr>
          <w:b/>
        </w:rPr>
      </w:pPr>
      <w:r w:rsidRPr="0046688E">
        <w:t>Il sottoscritto ……………………………. nato a ……………</w:t>
      </w:r>
      <w:proofErr w:type="gramStart"/>
      <w:r w:rsidRPr="0046688E">
        <w:t>…….</w:t>
      </w:r>
      <w:proofErr w:type="gramEnd"/>
      <w:r w:rsidRPr="0046688E">
        <w:t>., residente a ……………….………., via ………………………… n…………….. in qualità di legale rappresentante dell’offerente…………………………………………………………</w:t>
      </w:r>
      <w:proofErr w:type="gramStart"/>
      <w:r w:rsidRPr="0046688E">
        <w:t>…….</w:t>
      </w:r>
      <w:proofErr w:type="gramEnd"/>
      <w:r w:rsidRPr="0046688E">
        <w:t xml:space="preserve"> </w:t>
      </w:r>
      <w:r w:rsidR="00E31087">
        <w:t xml:space="preserve">. </w:t>
      </w:r>
      <w:r>
        <w:rPr>
          <w:b/>
        </w:rPr>
        <w:t xml:space="preserve">dichiara </w:t>
      </w:r>
    </w:p>
    <w:p w14:paraId="15129652" w14:textId="77777777" w:rsidR="00E31087" w:rsidRDefault="00E31087" w:rsidP="00AA702E">
      <w:pPr>
        <w:spacing w:line="490" w:lineRule="exact"/>
        <w:jc w:val="both"/>
        <w:rPr>
          <w:b/>
        </w:rPr>
      </w:pPr>
    </w:p>
    <w:p w14:paraId="051D781F" w14:textId="77777777" w:rsidR="00E31087" w:rsidRDefault="00E31087" w:rsidP="00AA702E">
      <w:pPr>
        <w:spacing w:line="490" w:lineRule="exact"/>
        <w:jc w:val="both"/>
        <w:rPr>
          <w:b/>
        </w:rPr>
      </w:pPr>
      <w:r w:rsidRPr="0046688E">
        <w:t>Il sottoscritto ……………………………. nato a ……………</w:t>
      </w:r>
      <w:proofErr w:type="gramStart"/>
      <w:r w:rsidRPr="0046688E">
        <w:t>…….</w:t>
      </w:r>
      <w:proofErr w:type="gramEnd"/>
      <w:r w:rsidRPr="0046688E">
        <w:t>., residente a ……………….………., via ………………………… n…………….. in qualità di legale rappresentante dell’offerente…………………………………………………………</w:t>
      </w:r>
      <w:proofErr w:type="gramStart"/>
      <w:r w:rsidRPr="0046688E">
        <w:t>…….</w:t>
      </w:r>
      <w:proofErr w:type="gramEnd"/>
      <w:r w:rsidRPr="0046688E">
        <w:t xml:space="preserve"> </w:t>
      </w:r>
      <w:r>
        <w:t xml:space="preserve">. </w:t>
      </w:r>
      <w:r>
        <w:rPr>
          <w:b/>
        </w:rPr>
        <w:t xml:space="preserve">dichiara </w:t>
      </w:r>
    </w:p>
    <w:p w14:paraId="5695F6CE" w14:textId="77777777" w:rsidR="00444FC1" w:rsidRDefault="00444FC1" w:rsidP="00AA702E">
      <w:pPr>
        <w:spacing w:line="490" w:lineRule="exact"/>
        <w:jc w:val="both"/>
        <w:rPr>
          <w:b/>
        </w:rPr>
      </w:pPr>
    </w:p>
    <w:p w14:paraId="522A29DB" w14:textId="77777777" w:rsidR="00444FC1" w:rsidRDefault="00444FC1" w:rsidP="00444FC1">
      <w:pPr>
        <w:spacing w:line="490" w:lineRule="exact"/>
        <w:jc w:val="both"/>
        <w:rPr>
          <w:b/>
        </w:rPr>
      </w:pPr>
      <w:r w:rsidRPr="0046688E">
        <w:t>Il sottoscritto ……………………………. nato a ……………</w:t>
      </w:r>
      <w:proofErr w:type="gramStart"/>
      <w:r w:rsidRPr="0046688E">
        <w:t>…….</w:t>
      </w:r>
      <w:proofErr w:type="gramEnd"/>
      <w:r w:rsidRPr="0046688E">
        <w:t>., residente a ……………….………., via ………………………… n…………….. in qualità di legale rappresentante dell’offerente…………………………………………………………</w:t>
      </w:r>
      <w:proofErr w:type="gramStart"/>
      <w:r w:rsidRPr="0046688E">
        <w:t>…….</w:t>
      </w:r>
      <w:proofErr w:type="gramEnd"/>
      <w:r w:rsidRPr="0046688E">
        <w:t xml:space="preserve"> </w:t>
      </w:r>
      <w:r>
        <w:t xml:space="preserve">. </w:t>
      </w:r>
      <w:r>
        <w:rPr>
          <w:b/>
        </w:rPr>
        <w:t xml:space="preserve">dichiara </w:t>
      </w:r>
    </w:p>
    <w:p w14:paraId="36949B6A" w14:textId="77777777" w:rsidR="00444FC1" w:rsidRDefault="00444FC1" w:rsidP="00444FC1">
      <w:pPr>
        <w:spacing w:line="490" w:lineRule="exact"/>
        <w:jc w:val="both"/>
        <w:rPr>
          <w:b/>
        </w:rPr>
      </w:pPr>
    </w:p>
    <w:p w14:paraId="7E1AF7B6" w14:textId="77777777" w:rsidR="00E31087" w:rsidRDefault="00E31087" w:rsidP="00AA702E">
      <w:pPr>
        <w:spacing w:line="490" w:lineRule="exact"/>
        <w:jc w:val="both"/>
        <w:rPr>
          <w:b/>
        </w:rPr>
      </w:pPr>
    </w:p>
    <w:p w14:paraId="6B9E08E3" w14:textId="77777777" w:rsidR="00F86BDD" w:rsidRPr="00AA702E" w:rsidRDefault="00AA702E" w:rsidP="00AA702E">
      <w:pPr>
        <w:spacing w:line="490" w:lineRule="exact"/>
        <w:jc w:val="both"/>
      </w:pPr>
      <w:r w:rsidRPr="00E31087">
        <w:rPr>
          <w:b/>
        </w:rPr>
        <w:t>l’insussistenza</w:t>
      </w:r>
      <w:r w:rsidRPr="00AA702E">
        <w:t xml:space="preserve"> delle cause di esclusione di ordine generale di cui all'art. 80, commi 1, 2, 3, 4 e 5, d.lgs.  50/2016</w:t>
      </w:r>
      <w:r>
        <w:rPr>
          <w:rStyle w:val="Rimandonotaapidipagina"/>
        </w:rPr>
        <w:footnoteReference w:id="1"/>
      </w:r>
      <w:r>
        <w:t>.</w:t>
      </w:r>
    </w:p>
    <w:p w14:paraId="28C7CB67" w14:textId="77777777" w:rsidR="008F4288" w:rsidRPr="00820487" w:rsidRDefault="008F4288" w:rsidP="00820487">
      <w:pPr>
        <w:spacing w:line="490" w:lineRule="exact"/>
        <w:jc w:val="both"/>
      </w:pPr>
      <w:r w:rsidRPr="00820487">
        <w:rPr>
          <w:iCs/>
        </w:rPr>
        <w:lastRenderedPageBreak/>
        <w:t xml:space="preserve">Se più operatori economici compartecipano alla procedura di appalto sotto forma di </w:t>
      </w:r>
      <w:r w:rsidRPr="00820487">
        <w:rPr>
          <w:b/>
          <w:iCs/>
        </w:rPr>
        <w:t>soggetto gruppo costituendo</w:t>
      </w:r>
      <w:r w:rsidRPr="00820487">
        <w:rPr>
          <w:iCs/>
        </w:rPr>
        <w:t xml:space="preserve"> </w:t>
      </w:r>
      <w:r w:rsidR="00E31087" w:rsidRPr="00820487">
        <w:rPr>
          <w:iCs/>
        </w:rPr>
        <w:t>o</w:t>
      </w:r>
      <w:r w:rsidR="00E31087" w:rsidRPr="00820487">
        <w:rPr>
          <w:b/>
          <w:iCs/>
        </w:rPr>
        <w:t xml:space="preserve"> già costituito</w:t>
      </w:r>
      <w:r w:rsidR="00E31087" w:rsidRPr="00820487">
        <w:rPr>
          <w:iCs/>
        </w:rPr>
        <w:t xml:space="preserve"> </w:t>
      </w:r>
      <w:r w:rsidRPr="00820487">
        <w:rPr>
          <w:iCs/>
        </w:rPr>
        <w:t>(intendendosi per tale i soggetti ex art.</w:t>
      </w:r>
      <w:r w:rsidR="00CD2796" w:rsidRPr="00820487">
        <w:rPr>
          <w:iCs/>
        </w:rPr>
        <w:t xml:space="preserve"> </w:t>
      </w:r>
      <w:r w:rsidRPr="00820487">
        <w:rPr>
          <w:iCs/>
        </w:rPr>
        <w:t xml:space="preserve">45, comma 2, lett. d), e), f), g), </w:t>
      </w:r>
      <w:r w:rsidR="004124C0" w:rsidRPr="00820487">
        <w:rPr>
          <w:iCs/>
        </w:rPr>
        <w:t>d</w:t>
      </w:r>
      <w:r w:rsidRPr="00820487">
        <w:rPr>
          <w:iCs/>
        </w:rPr>
        <w:t>.</w:t>
      </w:r>
      <w:r w:rsidR="004124C0" w:rsidRPr="00820487">
        <w:rPr>
          <w:iCs/>
        </w:rPr>
        <w:t>l</w:t>
      </w:r>
      <w:r w:rsidRPr="00820487">
        <w:rPr>
          <w:iCs/>
        </w:rPr>
        <w:t xml:space="preserve">gs. 50/2016), la dichiarazione deve essere sottoscritta con firma </w:t>
      </w:r>
      <w:r w:rsidR="00913EAA" w:rsidRPr="00820487">
        <w:rPr>
          <w:iCs/>
        </w:rPr>
        <w:t>digitale</w:t>
      </w:r>
      <w:r w:rsidRPr="00820487">
        <w:rPr>
          <w:iCs/>
        </w:rPr>
        <w:t xml:space="preserve"> da </w:t>
      </w:r>
      <w:r w:rsidRPr="00820487">
        <w:rPr>
          <w:b/>
          <w:iCs/>
        </w:rPr>
        <w:t>tutti</w:t>
      </w:r>
      <w:r w:rsidRPr="00820487">
        <w:rPr>
          <w:iCs/>
        </w:rPr>
        <w:t xml:space="preserve"> i membri</w:t>
      </w:r>
      <w:r w:rsidR="000B26E7" w:rsidRPr="00820487">
        <w:rPr>
          <w:iCs/>
        </w:rPr>
        <w:t xml:space="preserve"> compartecipanti</w:t>
      </w:r>
      <w:r w:rsidR="00E31087" w:rsidRPr="00820487">
        <w:rPr>
          <w:iCs/>
        </w:rPr>
        <w:t xml:space="preserve"> del gruppo</w:t>
      </w:r>
      <w:r w:rsidRPr="00820487">
        <w:rPr>
          <w:iCs/>
        </w:rPr>
        <w:t>.</w:t>
      </w:r>
      <w:r w:rsidR="0009102C" w:rsidRPr="00820487">
        <w:t xml:space="preserve"> </w:t>
      </w:r>
    </w:p>
    <w:p w14:paraId="13D2E74B" w14:textId="77777777" w:rsidR="00847D2B" w:rsidRDefault="00A83879" w:rsidP="00847D2B">
      <w:pPr>
        <w:widowControl w:val="0"/>
        <w:autoSpaceDE w:val="0"/>
        <w:autoSpaceDN w:val="0"/>
        <w:adjustRightInd w:val="0"/>
        <w:spacing w:before="120" w:after="120" w:line="480" w:lineRule="exact"/>
        <w:jc w:val="center"/>
      </w:pPr>
      <w:r>
        <w:t>FIRMA DIGITALE</w:t>
      </w:r>
      <w:r w:rsidR="00847D2B" w:rsidRPr="00847D2B">
        <w:t xml:space="preserve"> </w:t>
      </w:r>
    </w:p>
    <w:p w14:paraId="1CFFD68E" w14:textId="77777777" w:rsidR="00847D2B" w:rsidRPr="00F00E59" w:rsidRDefault="00847D2B" w:rsidP="00847D2B">
      <w:pPr>
        <w:widowControl w:val="0"/>
        <w:autoSpaceDE w:val="0"/>
        <w:autoSpaceDN w:val="0"/>
        <w:adjustRightInd w:val="0"/>
        <w:spacing w:before="120" w:after="120" w:line="480" w:lineRule="exact"/>
        <w:jc w:val="center"/>
      </w:pPr>
      <w:r>
        <w:t>FIRMA DIGITALE</w:t>
      </w:r>
    </w:p>
    <w:p w14:paraId="1DD6C2CE" w14:textId="77777777" w:rsidR="00847D2B" w:rsidRPr="00F00E59" w:rsidRDefault="00847D2B" w:rsidP="00847D2B">
      <w:pPr>
        <w:widowControl w:val="0"/>
        <w:autoSpaceDE w:val="0"/>
        <w:autoSpaceDN w:val="0"/>
        <w:adjustRightInd w:val="0"/>
        <w:spacing w:before="120" w:after="120" w:line="480" w:lineRule="exact"/>
        <w:jc w:val="center"/>
      </w:pPr>
      <w:r>
        <w:t>FIRMA DIGITALE</w:t>
      </w:r>
    </w:p>
    <w:p w14:paraId="52FC1BAC" w14:textId="77777777" w:rsidR="00820487" w:rsidRDefault="00820487" w:rsidP="00820487">
      <w:pPr>
        <w:pStyle w:val="NormaleWeb"/>
        <w:rPr>
          <w:rFonts w:ascii="Tahoma" w:hAnsi="Tahoma" w:cs="Tahoma"/>
          <w:b/>
          <w:bCs/>
          <w:sz w:val="20"/>
          <w:szCs w:val="20"/>
        </w:rPr>
      </w:pPr>
      <w:bookmarkStart w:id="0" w:name="28"/>
    </w:p>
    <w:p w14:paraId="2CBE7039" w14:textId="77777777" w:rsidR="00820487" w:rsidRDefault="00820487" w:rsidP="00820487">
      <w:pPr>
        <w:spacing w:line="490" w:lineRule="exact"/>
        <w:jc w:val="both"/>
        <w:rPr>
          <w:iCs/>
        </w:rPr>
      </w:pPr>
      <w:r w:rsidRPr="00CE593D">
        <w:rPr>
          <w:b/>
          <w:iCs/>
          <w:u w:val="single"/>
        </w:rPr>
        <w:t>NB</w:t>
      </w:r>
      <w:r w:rsidRPr="00820487">
        <w:rPr>
          <w:iCs/>
        </w:rPr>
        <w:t xml:space="preserve">: si precisa che ai sensi dell’art. 7 </w:t>
      </w:r>
      <w:r w:rsidRPr="00C35630">
        <w:rPr>
          <w:i/>
          <w:iCs/>
        </w:rPr>
        <w:t>(</w:t>
      </w:r>
      <w:r w:rsidR="00C532CA" w:rsidRPr="00C35630">
        <w:rPr>
          <w:i/>
          <w:iCs/>
        </w:rPr>
        <w:t>“</w:t>
      </w:r>
      <w:r w:rsidRPr="00C35630">
        <w:rPr>
          <w:i/>
          <w:iCs/>
        </w:rPr>
        <w:t>Entrata in vigore</w:t>
      </w:r>
      <w:r w:rsidR="00C532CA" w:rsidRPr="00C35630">
        <w:rPr>
          <w:i/>
          <w:iCs/>
        </w:rPr>
        <w:t>”</w:t>
      </w:r>
      <w:r w:rsidRPr="00C35630">
        <w:rPr>
          <w:i/>
          <w:iCs/>
        </w:rPr>
        <w:t>)</w:t>
      </w:r>
      <w:r w:rsidRPr="00820487">
        <w:rPr>
          <w:iCs/>
        </w:rPr>
        <w:t xml:space="preserve"> </w:t>
      </w:r>
      <w:r w:rsidR="00CE593D" w:rsidRPr="00820487">
        <w:rPr>
          <w:iCs/>
        </w:rPr>
        <w:t xml:space="preserve">del </w:t>
      </w:r>
      <w:r w:rsidR="00CE593D" w:rsidRPr="007562D3">
        <w:rPr>
          <w:b/>
          <w:iCs/>
        </w:rPr>
        <w:t xml:space="preserve">d.lgs. n. 122 del 2018 </w:t>
      </w:r>
      <w:r w:rsidR="00CE593D" w:rsidRPr="006E68ED">
        <w:rPr>
          <w:i/>
          <w:iCs/>
        </w:rPr>
        <w:t>“Disposizioni per la revisione della disciplina del casellario giudiziale, in attuazione della delega di cui all'articolo 1, commi 18 e 19, della legge 23 giugno 2017, n. 103</w:t>
      </w:r>
      <w:r w:rsidR="006E68ED">
        <w:rPr>
          <w:i/>
          <w:iCs/>
        </w:rPr>
        <w:t>”,</w:t>
      </w:r>
      <w:r w:rsidR="00CE593D" w:rsidRPr="00CE593D">
        <w:rPr>
          <w:iCs/>
        </w:rPr>
        <w:t xml:space="preserve"> </w:t>
      </w:r>
      <w:r w:rsidR="00CE593D" w:rsidRPr="007562D3">
        <w:rPr>
          <w:b/>
          <w:iCs/>
        </w:rPr>
        <w:t>pubblicato in</w:t>
      </w:r>
      <w:r w:rsidR="00CE593D">
        <w:rPr>
          <w:iCs/>
        </w:rPr>
        <w:t xml:space="preserve"> </w:t>
      </w:r>
      <w:hyperlink r:id="rId8" w:tgtFrame="_blank" w:history="1">
        <w:r w:rsidR="00CE593D" w:rsidRPr="00C135E3">
          <w:rPr>
            <w:b/>
            <w:iCs/>
          </w:rPr>
          <w:t xml:space="preserve">(GURI Serie Generale n.250 </w:t>
        </w:r>
        <w:r w:rsidR="00CE593D" w:rsidRPr="00C135E3">
          <w:rPr>
            <w:b/>
            <w:iCs/>
          </w:rPr>
          <w:lastRenderedPageBreak/>
          <w:t>del 26-10-2018</w:t>
        </w:r>
        <w:r w:rsidR="00CE593D" w:rsidRPr="00CE593D">
          <w:rPr>
            <w:iCs/>
          </w:rPr>
          <w:t xml:space="preserve"> - </w:t>
        </w:r>
        <w:r w:rsidR="00CE593D" w:rsidRPr="007562D3">
          <w:rPr>
            <w:b/>
            <w:iCs/>
          </w:rPr>
          <w:t>Suppl. Ordinario n. 50/L</w:t>
        </w:r>
        <w:r w:rsidR="00CE593D" w:rsidRPr="00CE593D">
          <w:rPr>
            <w:iCs/>
          </w:rPr>
          <w:t>)</w:t>
        </w:r>
      </w:hyperlink>
      <w:r w:rsidR="00167F92">
        <w:rPr>
          <w:iCs/>
        </w:rPr>
        <w:t>,</w:t>
      </w:r>
      <w:r w:rsidR="008A026E" w:rsidRPr="00CE593D">
        <w:rPr>
          <w:iCs/>
        </w:rPr>
        <w:t xml:space="preserve"> </w:t>
      </w:r>
      <w:r w:rsidRPr="00820487">
        <w:rPr>
          <w:iCs/>
        </w:rPr>
        <w:t xml:space="preserve">tutte le disposizioni ivi contenute acquistano efficacia </w:t>
      </w:r>
      <w:r w:rsidRPr="00B0490B">
        <w:rPr>
          <w:iCs/>
          <w:u w:val="single"/>
        </w:rPr>
        <w:t>decorso un anno dalla pubblicazione del decreto nella Gazzetta Ufficiale</w:t>
      </w:r>
      <w:r w:rsidRPr="00820487">
        <w:rPr>
          <w:iCs/>
        </w:rPr>
        <w:t>.</w:t>
      </w:r>
    </w:p>
    <w:p w14:paraId="20E41346" w14:textId="77777777" w:rsidR="00167F92" w:rsidRDefault="00167F92" w:rsidP="00167F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68C432BA" w14:textId="77777777" w:rsidR="00790550" w:rsidRDefault="00B0490B" w:rsidP="00933633">
      <w:pPr>
        <w:spacing w:line="490" w:lineRule="exact"/>
        <w:jc w:val="both"/>
        <w:rPr>
          <w:iCs/>
        </w:rPr>
      </w:pPr>
      <w:r w:rsidRPr="005E4A33">
        <w:rPr>
          <w:iCs/>
          <w:u w:val="single"/>
        </w:rPr>
        <w:t>Si segnala</w:t>
      </w:r>
      <w:r w:rsidRPr="005E4A33">
        <w:rPr>
          <w:iCs/>
        </w:rPr>
        <w:t xml:space="preserve"> </w:t>
      </w:r>
      <w:r>
        <w:rPr>
          <w:iCs/>
        </w:rPr>
        <w:t>i</w:t>
      </w:r>
      <w:r w:rsidR="00C532CA" w:rsidRPr="00C532CA">
        <w:rPr>
          <w:iCs/>
        </w:rPr>
        <w:t>n particolare l’art.</w:t>
      </w:r>
      <w:r w:rsidR="00820487" w:rsidRPr="00C532CA">
        <w:rPr>
          <w:iCs/>
        </w:rPr>
        <w:t xml:space="preserve"> 28</w:t>
      </w:r>
      <w:bookmarkEnd w:id="0"/>
      <w:r w:rsidR="00167F92">
        <w:rPr>
          <w:iCs/>
        </w:rPr>
        <w:t>, commi 7</w:t>
      </w:r>
      <w:r w:rsidR="00BE61CD">
        <w:rPr>
          <w:iCs/>
        </w:rPr>
        <w:t>,</w:t>
      </w:r>
      <w:r w:rsidR="00167F92">
        <w:rPr>
          <w:iCs/>
        </w:rPr>
        <w:t xml:space="preserve"> 8</w:t>
      </w:r>
      <w:r w:rsidR="00820487" w:rsidRPr="00C532CA">
        <w:rPr>
          <w:iCs/>
        </w:rPr>
        <w:t xml:space="preserve"> </w:t>
      </w:r>
      <w:r w:rsidR="00BE61CD">
        <w:rPr>
          <w:iCs/>
        </w:rPr>
        <w:t xml:space="preserve">e 9 </w:t>
      </w:r>
      <w:r w:rsidR="00C532CA" w:rsidRPr="00C35630">
        <w:rPr>
          <w:i/>
          <w:iCs/>
        </w:rPr>
        <w:t>(“</w:t>
      </w:r>
      <w:r w:rsidR="00820487" w:rsidRPr="00C35630">
        <w:rPr>
          <w:i/>
          <w:iCs/>
        </w:rPr>
        <w:t>Certificati richiesti dalle amministrazioni pubbliche e gestori di pubblici servizi</w:t>
      </w:r>
      <w:r w:rsidR="00C532CA" w:rsidRPr="00C35630">
        <w:rPr>
          <w:i/>
          <w:iCs/>
        </w:rPr>
        <w:t xml:space="preserve">”) </w:t>
      </w:r>
      <w:r w:rsidR="00161D72">
        <w:rPr>
          <w:iCs/>
        </w:rPr>
        <w:t>introdotto</w:t>
      </w:r>
      <w:r w:rsidR="007562D3">
        <w:rPr>
          <w:iCs/>
        </w:rPr>
        <w:t xml:space="preserve"> </w:t>
      </w:r>
      <w:r w:rsidR="00C532CA" w:rsidRPr="00820487">
        <w:rPr>
          <w:iCs/>
        </w:rPr>
        <w:t>d</w:t>
      </w:r>
      <w:r w:rsidR="007562D3">
        <w:rPr>
          <w:iCs/>
        </w:rPr>
        <w:t>a</w:t>
      </w:r>
      <w:r w:rsidR="00C532CA" w:rsidRPr="00820487">
        <w:rPr>
          <w:iCs/>
        </w:rPr>
        <w:t>l d.lgs. n. 122 del 2018</w:t>
      </w:r>
      <w:r w:rsidR="00C532CA" w:rsidRPr="00790550">
        <w:rPr>
          <w:iCs/>
        </w:rPr>
        <w:t xml:space="preserve"> </w:t>
      </w:r>
      <w:r w:rsidR="00933633">
        <w:rPr>
          <w:iCs/>
        </w:rPr>
        <w:t xml:space="preserve">di modifica del dpr 313/2002 </w:t>
      </w:r>
      <w:r w:rsidR="00933633" w:rsidRPr="00933633">
        <w:rPr>
          <w:i/>
          <w:iCs/>
        </w:rPr>
        <w:t>“Testo unico delle disposizioni legislative e regolamentari in materia di casellario giudiziale, di casellario giudiziale europeo, di anagrafe delle sanzioni amministrative dipendenti da reato e dei relativi carichi pendenti”</w:t>
      </w:r>
      <w:r w:rsidR="00933633">
        <w:rPr>
          <w:iCs/>
        </w:rPr>
        <w:t xml:space="preserve">, </w:t>
      </w:r>
      <w:r>
        <w:rPr>
          <w:iCs/>
        </w:rPr>
        <w:t xml:space="preserve">che </w:t>
      </w:r>
      <w:r w:rsidR="00C532CA" w:rsidRPr="00790550">
        <w:rPr>
          <w:iCs/>
        </w:rPr>
        <w:t>dispone:</w:t>
      </w:r>
    </w:p>
    <w:p w14:paraId="49DB02A7" w14:textId="77777777" w:rsidR="00820487" w:rsidRPr="00C532CA" w:rsidRDefault="00820487" w:rsidP="00790550">
      <w:pPr>
        <w:pStyle w:val="Testonotaapidipagina"/>
        <w:ind w:left="284" w:right="566"/>
        <w:jc w:val="both"/>
        <w:rPr>
          <w:i/>
          <w:sz w:val="22"/>
          <w:szCs w:val="22"/>
        </w:rPr>
      </w:pPr>
      <w:r w:rsidRPr="00C532CA">
        <w:rPr>
          <w:iCs/>
          <w:sz w:val="24"/>
          <w:szCs w:val="24"/>
        </w:rPr>
        <w:br/>
      </w:r>
      <w:r w:rsidR="00C532CA" w:rsidRPr="00C532CA">
        <w:rPr>
          <w:i/>
          <w:sz w:val="22"/>
          <w:szCs w:val="22"/>
        </w:rPr>
        <w:t>“</w:t>
      </w:r>
      <w:r w:rsidRPr="00C532CA">
        <w:rPr>
          <w:i/>
          <w:sz w:val="22"/>
          <w:szCs w:val="22"/>
        </w:rPr>
        <w:t xml:space="preserve">1. Le amministrazioni pubbliche e i gestori di pubblici servizi, quando è necessario per l'esercizio delle loro funzioni, hanno diritto di ottenere, con le modalità di cui all'articolo 39, in relazione a persone maggiori di età, il certificato selettivo di cui al comma 2 o il certificato generale del casellario giudiziale di cui al comma 3, nonché i certificati di cui agli articoli 27 e 28-bis. </w:t>
      </w:r>
    </w:p>
    <w:p w14:paraId="7201AEE2" w14:textId="77777777" w:rsidR="00820487" w:rsidRPr="00C532CA" w:rsidRDefault="00820487" w:rsidP="00C532CA">
      <w:pPr>
        <w:pStyle w:val="Testonotaapidipagina"/>
        <w:ind w:left="284" w:right="566"/>
        <w:jc w:val="both"/>
        <w:rPr>
          <w:i/>
          <w:sz w:val="22"/>
          <w:szCs w:val="22"/>
        </w:rPr>
      </w:pPr>
      <w:r w:rsidRPr="00C532CA">
        <w:rPr>
          <w:i/>
          <w:sz w:val="22"/>
          <w:szCs w:val="22"/>
        </w:rPr>
        <w:t xml:space="preserve">2. Il certificato selettivo contiene le sole iscrizioni esistenti nel casellario giudiziale a carico di un determinato soggetto pertinenti e rilevanti rispetto alle finalità istituzionali dell'amministrazione o del gestore. Ciascuna iscrizione riportata è conforme all'estratto di cui all'articolo 4. </w:t>
      </w:r>
    </w:p>
    <w:p w14:paraId="459F1BB9" w14:textId="77777777" w:rsidR="00820487" w:rsidRPr="00C532CA" w:rsidRDefault="00820487" w:rsidP="00C532CA">
      <w:pPr>
        <w:pStyle w:val="Testonotaapidipagina"/>
        <w:ind w:left="284" w:right="566"/>
        <w:jc w:val="both"/>
        <w:rPr>
          <w:i/>
          <w:sz w:val="22"/>
          <w:szCs w:val="22"/>
        </w:rPr>
      </w:pPr>
      <w:r w:rsidRPr="00C532CA">
        <w:rPr>
          <w:i/>
          <w:sz w:val="22"/>
          <w:szCs w:val="22"/>
        </w:rPr>
        <w:t xml:space="preserve">3. Il certificato generale riporta tutte le iscrizioni esistenti nel casellario giudiziale a carico di un determinato soggetto ed è rilasciato quando non può procedersi, sulla base delle disposizioni che regolano i singoli procedimenti amministrativi, alla selezione delle iscrizioni pertinenti e rilevanti. </w:t>
      </w:r>
    </w:p>
    <w:p w14:paraId="03F7595C" w14:textId="77777777" w:rsidR="00820487" w:rsidRPr="00C532CA" w:rsidRDefault="00820487" w:rsidP="00C532CA">
      <w:pPr>
        <w:pStyle w:val="Testonotaapidipagina"/>
        <w:ind w:left="284" w:right="566"/>
        <w:jc w:val="both"/>
        <w:rPr>
          <w:i/>
          <w:sz w:val="22"/>
          <w:szCs w:val="22"/>
        </w:rPr>
      </w:pPr>
      <w:r w:rsidRPr="00C532CA">
        <w:rPr>
          <w:i/>
          <w:sz w:val="22"/>
          <w:szCs w:val="22"/>
        </w:rPr>
        <w:t xml:space="preserve">4. I dati acquisiti dalle amministrazioni pubbliche e dai gestori di pubblici servizi sono trattati nel rispetto delle norme in materia di protezione dei dati personali e solo ai fini del procedimento amministrativo cui si riferisce la richiesta. </w:t>
      </w:r>
    </w:p>
    <w:p w14:paraId="432BC708" w14:textId="77777777" w:rsidR="00820487" w:rsidRPr="00C532CA" w:rsidRDefault="00820487" w:rsidP="00C532CA">
      <w:pPr>
        <w:pStyle w:val="Testonotaapidipagina"/>
        <w:ind w:left="284" w:right="566"/>
        <w:jc w:val="both"/>
        <w:rPr>
          <w:i/>
          <w:sz w:val="22"/>
          <w:szCs w:val="22"/>
        </w:rPr>
      </w:pPr>
      <w:r w:rsidRPr="00C532CA">
        <w:rPr>
          <w:i/>
          <w:sz w:val="22"/>
          <w:szCs w:val="22"/>
        </w:rPr>
        <w:t xml:space="preserve">5. Il certificato selettivo è rilasciato dall'ufficio locale del casellario di cui all'articolo 18 quando motivi tecnici ne impediscono temporaneamente il rilascio secondo le modalità di cui all'articolo 39. </w:t>
      </w:r>
    </w:p>
    <w:p w14:paraId="017F68FC" w14:textId="77777777" w:rsidR="00820487" w:rsidRPr="00C532CA" w:rsidRDefault="00820487" w:rsidP="00C532CA">
      <w:pPr>
        <w:pStyle w:val="Testonotaapidipagina"/>
        <w:ind w:left="284" w:right="566"/>
        <w:jc w:val="both"/>
        <w:rPr>
          <w:i/>
          <w:sz w:val="22"/>
          <w:szCs w:val="22"/>
        </w:rPr>
      </w:pPr>
      <w:r w:rsidRPr="00C532CA">
        <w:rPr>
          <w:i/>
          <w:sz w:val="22"/>
          <w:szCs w:val="22"/>
        </w:rPr>
        <w:t xml:space="preserve">6. Il certificato generale è rilasciato dall'ufficio locale del casellario di cui all'articolo 18: </w:t>
      </w:r>
    </w:p>
    <w:p w14:paraId="0FEB2E51" w14:textId="77777777" w:rsidR="003A44B3" w:rsidRDefault="00820487" w:rsidP="00C532CA">
      <w:pPr>
        <w:pStyle w:val="Testonotaapidipagina"/>
        <w:ind w:left="284" w:right="566"/>
        <w:jc w:val="both"/>
        <w:rPr>
          <w:i/>
          <w:sz w:val="22"/>
          <w:szCs w:val="22"/>
        </w:rPr>
      </w:pPr>
      <w:r w:rsidRPr="00C532CA">
        <w:rPr>
          <w:i/>
          <w:sz w:val="22"/>
          <w:szCs w:val="22"/>
        </w:rPr>
        <w:t xml:space="preserve">a) quando motivi tecnici ne impediscono temporaneamente il rilascio secondo le modalità di cui all'articolo 39; </w:t>
      </w:r>
    </w:p>
    <w:p w14:paraId="4C5C97B1" w14:textId="77777777" w:rsidR="00820487" w:rsidRPr="00C532CA" w:rsidRDefault="00820487" w:rsidP="00C532CA">
      <w:pPr>
        <w:pStyle w:val="Testonotaapidipagina"/>
        <w:ind w:left="284" w:right="566"/>
        <w:jc w:val="both"/>
        <w:rPr>
          <w:i/>
          <w:sz w:val="22"/>
          <w:szCs w:val="22"/>
        </w:rPr>
      </w:pPr>
      <w:r w:rsidRPr="00C532CA">
        <w:rPr>
          <w:i/>
          <w:sz w:val="22"/>
          <w:szCs w:val="22"/>
        </w:rPr>
        <w:t xml:space="preserve">b) nelle more della stipula o della modifica della convenzione di cui all'articolo 39 e della realizzazione delle procedure informatiche finalizzate all'accesso selettivo; </w:t>
      </w:r>
      <w:r w:rsidRPr="00C532CA">
        <w:rPr>
          <w:i/>
          <w:sz w:val="22"/>
          <w:szCs w:val="22"/>
        </w:rPr>
        <w:br/>
        <w:t xml:space="preserve">c) nel caso di motivate richieste relative a procedimenti amministrativi ulteriori rispetto a quelli indicati in convenzione. </w:t>
      </w:r>
    </w:p>
    <w:p w14:paraId="17344479" w14:textId="77777777" w:rsidR="00820487" w:rsidRPr="00167F92" w:rsidRDefault="00820487" w:rsidP="00C532CA">
      <w:pPr>
        <w:pStyle w:val="Testonotaapidipagina"/>
        <w:ind w:left="284" w:right="566"/>
        <w:jc w:val="both"/>
        <w:rPr>
          <w:b/>
          <w:i/>
          <w:sz w:val="22"/>
          <w:szCs w:val="22"/>
        </w:rPr>
      </w:pPr>
      <w:r w:rsidRPr="00167F92">
        <w:rPr>
          <w:b/>
          <w:i/>
          <w:sz w:val="22"/>
          <w:szCs w:val="22"/>
        </w:rPr>
        <w:t xml:space="preserve">7. Nei certificati di cui ai commi 2 e 3 non sono, in ogni caso, riportate le iscrizioni relative: </w:t>
      </w:r>
    </w:p>
    <w:p w14:paraId="4B33859C" w14:textId="77777777" w:rsidR="003A44B3" w:rsidRPr="00167F92" w:rsidRDefault="00820487" w:rsidP="00C532CA">
      <w:pPr>
        <w:pStyle w:val="Testonotaapidipagina"/>
        <w:ind w:left="284" w:right="566"/>
        <w:jc w:val="both"/>
        <w:rPr>
          <w:b/>
          <w:i/>
          <w:sz w:val="22"/>
          <w:szCs w:val="22"/>
        </w:rPr>
      </w:pPr>
      <w:r w:rsidRPr="00167F92">
        <w:rPr>
          <w:b/>
          <w:i/>
          <w:sz w:val="22"/>
          <w:szCs w:val="22"/>
        </w:rPr>
        <w:t xml:space="preserve">a) alle condanne per contravvenzioni punibili con la sola ammenda e alle condanne per reati estinti a norma dell'articolo 167, primo comma, del codice penale; </w:t>
      </w:r>
      <w:r w:rsidRPr="00167F92">
        <w:rPr>
          <w:b/>
          <w:i/>
          <w:sz w:val="22"/>
          <w:szCs w:val="22"/>
        </w:rPr>
        <w:br/>
        <w:t xml:space="preserve">b) ai provvedimenti che ai sensi dell'articolo 464-quater del codice di procedura penale, dispongono la sospensione del procedimento con messa alla prova, nonché alle sentenze che ai sensi dell'articolo 464-septies del codice di procedura penale dichiarano estinto il reato per esito positivo della messa alla prova; </w:t>
      </w:r>
    </w:p>
    <w:p w14:paraId="12999F98" w14:textId="77777777" w:rsidR="00820487" w:rsidRPr="00167F92" w:rsidRDefault="00820487" w:rsidP="00C532CA">
      <w:pPr>
        <w:pStyle w:val="Testonotaapidipagina"/>
        <w:ind w:left="284" w:right="566"/>
        <w:jc w:val="both"/>
        <w:rPr>
          <w:b/>
          <w:i/>
          <w:sz w:val="22"/>
          <w:szCs w:val="22"/>
        </w:rPr>
      </w:pPr>
      <w:r w:rsidRPr="00167F92">
        <w:rPr>
          <w:b/>
          <w:i/>
          <w:sz w:val="22"/>
          <w:szCs w:val="22"/>
        </w:rPr>
        <w:t xml:space="preserve">c) ai provvedimenti giudiziari che hanno dichiarato la non punibilità ai sensi dell'articolo 131-bis del codice penale. </w:t>
      </w:r>
    </w:p>
    <w:p w14:paraId="2A8C4F9B" w14:textId="77777777" w:rsidR="00820487" w:rsidRPr="00790550" w:rsidRDefault="00820487" w:rsidP="00C532CA">
      <w:pPr>
        <w:pStyle w:val="Testonotaapidipagina"/>
        <w:ind w:left="284" w:right="566"/>
        <w:jc w:val="both"/>
        <w:rPr>
          <w:b/>
          <w:i/>
          <w:sz w:val="22"/>
          <w:szCs w:val="22"/>
        </w:rPr>
      </w:pPr>
      <w:r w:rsidRPr="00790550">
        <w:rPr>
          <w:b/>
          <w:i/>
          <w:sz w:val="22"/>
          <w:szCs w:val="22"/>
        </w:rPr>
        <w:t>8. L'interessato che, a norma degli articoli 46 e 47 del d.P.R. 28 dicembre 2000, n. 445, rende dichiarazioni sostitutive relative all'esistenza nel casellario giudiziale di iscrizioni a suo carico, non è tenuto a indicare la presenza di quelle di cui al comma 7, nonché di cui all'articolo 24, comma 1.</w:t>
      </w:r>
      <w:r w:rsidR="00B643D5">
        <w:rPr>
          <w:rStyle w:val="Rimandonotaapidipagina"/>
          <w:b/>
          <w:i/>
          <w:sz w:val="22"/>
          <w:szCs w:val="22"/>
        </w:rPr>
        <w:footnoteReference w:id="2"/>
      </w:r>
      <w:r w:rsidRPr="00790550">
        <w:rPr>
          <w:b/>
          <w:i/>
          <w:sz w:val="22"/>
          <w:szCs w:val="22"/>
        </w:rPr>
        <w:t xml:space="preserve"> </w:t>
      </w:r>
    </w:p>
    <w:p w14:paraId="63D6A86D" w14:textId="77777777" w:rsidR="00820487" w:rsidRPr="00BE61CD" w:rsidRDefault="00820487" w:rsidP="00C532CA">
      <w:pPr>
        <w:pStyle w:val="Testonotaapidipagina"/>
        <w:ind w:left="284" w:right="566"/>
        <w:jc w:val="both"/>
        <w:rPr>
          <w:b/>
          <w:i/>
          <w:sz w:val="22"/>
          <w:szCs w:val="22"/>
        </w:rPr>
      </w:pPr>
      <w:r w:rsidRPr="00BE61CD">
        <w:rPr>
          <w:b/>
          <w:i/>
          <w:sz w:val="22"/>
          <w:szCs w:val="22"/>
        </w:rPr>
        <w:lastRenderedPageBreak/>
        <w:t>9. I certificati di cui ai commi 2 e 3 riguardanti un cittadino italiano contengono anche l'attestazione relativa alla sussistenza o non di iscrizioni nel casellario giudiziale europeo.</w:t>
      </w:r>
    </w:p>
    <w:p w14:paraId="3D084380" w14:textId="77777777" w:rsidR="00820487" w:rsidRPr="00C532CA" w:rsidRDefault="00820487" w:rsidP="00C532CA">
      <w:pPr>
        <w:pStyle w:val="Testonotaapidipagina"/>
        <w:ind w:left="284" w:right="566"/>
        <w:jc w:val="both"/>
        <w:rPr>
          <w:i/>
          <w:sz w:val="22"/>
          <w:szCs w:val="22"/>
        </w:rPr>
      </w:pPr>
      <w:r w:rsidRPr="00C532CA">
        <w:rPr>
          <w:i/>
          <w:sz w:val="22"/>
          <w:szCs w:val="22"/>
        </w:rPr>
        <w:t>10. In caso di comunicazione prevista dall'articolo 20, comma 3, i certificati contengono il riferimento alla data del decesso.</w:t>
      </w:r>
      <w:r w:rsidR="00C532CA">
        <w:rPr>
          <w:i/>
          <w:sz w:val="22"/>
          <w:szCs w:val="22"/>
        </w:rPr>
        <w:t>”</w:t>
      </w:r>
    </w:p>
    <w:p w14:paraId="0112608B" w14:textId="77777777" w:rsidR="008F4288" w:rsidRPr="00F00E59" w:rsidRDefault="008F4288" w:rsidP="00C532CA">
      <w:pPr>
        <w:widowControl w:val="0"/>
        <w:autoSpaceDE w:val="0"/>
        <w:autoSpaceDN w:val="0"/>
        <w:adjustRightInd w:val="0"/>
        <w:spacing w:before="120" w:after="120" w:line="480" w:lineRule="exact"/>
        <w:ind w:left="284" w:right="566"/>
        <w:jc w:val="center"/>
      </w:pPr>
    </w:p>
    <w:sectPr w:rsidR="008F4288" w:rsidRPr="00F00E59" w:rsidSect="00201422">
      <w:pgSz w:w="11906" w:h="16838" w:code="9"/>
      <w:pgMar w:top="1418" w:right="1134" w:bottom="1134" w:left="1134" w:header="709" w:footer="709" w:gutter="0"/>
      <w:paperSrc w:first="7" w:other="7"/>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85809A" w14:textId="77777777" w:rsidR="009B5D3E" w:rsidRDefault="009B5D3E">
      <w:r>
        <w:separator/>
      </w:r>
    </w:p>
  </w:endnote>
  <w:endnote w:type="continuationSeparator" w:id="0">
    <w:p w14:paraId="6127D028" w14:textId="77777777" w:rsidR="009B5D3E" w:rsidRDefault="009B5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AE041F" w14:textId="77777777" w:rsidR="009B5D3E" w:rsidRDefault="009B5D3E">
      <w:r>
        <w:separator/>
      </w:r>
    </w:p>
  </w:footnote>
  <w:footnote w:type="continuationSeparator" w:id="0">
    <w:p w14:paraId="330BB069" w14:textId="77777777" w:rsidR="009B5D3E" w:rsidRDefault="009B5D3E">
      <w:r>
        <w:continuationSeparator/>
      </w:r>
    </w:p>
  </w:footnote>
  <w:footnote w:id="1">
    <w:p w14:paraId="54FCA402" w14:textId="77777777" w:rsidR="00AA702E" w:rsidRPr="008B26C0" w:rsidRDefault="00AA702E" w:rsidP="00CD2796">
      <w:pPr>
        <w:pStyle w:val="Testonotaapidipagina"/>
        <w:jc w:val="both"/>
        <w:rPr>
          <w:sz w:val="22"/>
          <w:szCs w:val="22"/>
        </w:rPr>
      </w:pPr>
      <w:r w:rsidRPr="008B26C0">
        <w:rPr>
          <w:rStyle w:val="Rimandonotaapidipagina"/>
          <w:sz w:val="22"/>
          <w:szCs w:val="22"/>
        </w:rPr>
        <w:footnoteRef/>
      </w:r>
      <w:r w:rsidRPr="008B26C0">
        <w:rPr>
          <w:sz w:val="22"/>
          <w:szCs w:val="22"/>
        </w:rPr>
        <w:t xml:space="preserve"> Si riporta di seguito il testo dell’art. 80, commi da </w:t>
      </w:r>
      <w:r w:rsidR="00BA48A5" w:rsidRPr="008B26C0">
        <w:rPr>
          <w:sz w:val="22"/>
          <w:szCs w:val="22"/>
        </w:rPr>
        <w:t xml:space="preserve">1 a </w:t>
      </w:r>
      <w:r w:rsidR="009930D3">
        <w:rPr>
          <w:sz w:val="22"/>
          <w:szCs w:val="22"/>
        </w:rPr>
        <w:t>6</w:t>
      </w:r>
      <w:r w:rsidR="00BA48A5" w:rsidRPr="008B26C0">
        <w:rPr>
          <w:sz w:val="22"/>
          <w:szCs w:val="22"/>
        </w:rPr>
        <w:t xml:space="preserve">, d.lgs. </w:t>
      </w:r>
      <w:r w:rsidR="00963FF2">
        <w:rPr>
          <w:sz w:val="22"/>
          <w:szCs w:val="22"/>
        </w:rPr>
        <w:t xml:space="preserve">n. </w:t>
      </w:r>
      <w:r w:rsidR="00BA48A5" w:rsidRPr="008B26C0">
        <w:rPr>
          <w:sz w:val="22"/>
          <w:szCs w:val="22"/>
        </w:rPr>
        <w:t>50/</w:t>
      </w:r>
      <w:r w:rsidRPr="008B26C0">
        <w:rPr>
          <w:sz w:val="22"/>
          <w:szCs w:val="22"/>
        </w:rPr>
        <w:t>16</w:t>
      </w:r>
      <w:r w:rsidR="00AC765D" w:rsidRPr="008B26C0">
        <w:rPr>
          <w:sz w:val="22"/>
          <w:szCs w:val="22"/>
        </w:rPr>
        <w:t xml:space="preserve"> s.m.i.</w:t>
      </w:r>
      <w:r w:rsidR="00BC554F" w:rsidRPr="008B26C0">
        <w:rPr>
          <w:sz w:val="22"/>
          <w:szCs w:val="22"/>
        </w:rPr>
        <w:t>:</w:t>
      </w:r>
    </w:p>
    <w:p w14:paraId="7B2CB8FD" w14:textId="77777777" w:rsidR="00AA702E" w:rsidRPr="008B26C0" w:rsidRDefault="00AA702E" w:rsidP="00CD2796">
      <w:pPr>
        <w:pStyle w:val="Testonotaapidipagina"/>
        <w:jc w:val="both"/>
        <w:rPr>
          <w:sz w:val="22"/>
          <w:szCs w:val="22"/>
        </w:rPr>
      </w:pPr>
    </w:p>
    <w:p w14:paraId="7DC1C10F" w14:textId="77777777" w:rsidR="00063A9A" w:rsidRPr="00063A9A" w:rsidRDefault="00063A9A" w:rsidP="00063A9A">
      <w:pPr>
        <w:pStyle w:val="Testonotaapidipagina"/>
        <w:ind w:left="284" w:right="566"/>
        <w:jc w:val="both"/>
        <w:rPr>
          <w:i/>
          <w:iCs/>
          <w:sz w:val="22"/>
          <w:szCs w:val="22"/>
        </w:rPr>
      </w:pPr>
      <w:r>
        <w:rPr>
          <w:i/>
          <w:iCs/>
          <w:sz w:val="22"/>
          <w:szCs w:val="22"/>
        </w:rPr>
        <w:t>“</w:t>
      </w:r>
      <w:r w:rsidRPr="00063A9A">
        <w:rPr>
          <w:i/>
          <w:iCs/>
          <w:sz w:val="22"/>
          <w:szCs w:val="22"/>
        </w:rPr>
        <w:t>1. Costituisce motivo di esclusione di un operatore economico dalla partecipazione a una procedura d'appalto o concessione, la condanna con sentenza definitiva o decreto penale di condanna divenuto irrevocabile o sentenza di applicazione della pena su richiesta ai sensi dell'articolo 444 del codice di procedura penale, anche riferita a un suo subappaltatore nei casi di cui all'articolo 105, comma 6, per uno dei seguenti reati:</w:t>
      </w:r>
    </w:p>
    <w:p w14:paraId="0D186619" w14:textId="77777777" w:rsidR="00063A9A" w:rsidRPr="00063A9A" w:rsidRDefault="00063A9A" w:rsidP="00063A9A">
      <w:pPr>
        <w:pStyle w:val="Testonotaapidipagina"/>
        <w:ind w:left="284" w:right="566"/>
        <w:jc w:val="both"/>
        <w:rPr>
          <w:i/>
          <w:iCs/>
          <w:sz w:val="22"/>
          <w:szCs w:val="22"/>
        </w:rPr>
      </w:pPr>
      <w:r w:rsidRPr="00063A9A">
        <w:rPr>
          <w:i/>
          <w:iCs/>
          <w:sz w:val="22"/>
          <w:szCs w:val="22"/>
        </w:rPr>
        <w:t>(ai sensi dell'art. 1, comma 18, secondo periodo, della legge n. 55 del 2019, fino al 31 dicembre 2020, il subappaltatore non deve essere indicato in fase di gara)</w:t>
      </w:r>
    </w:p>
    <w:p w14:paraId="7C11741E" w14:textId="77777777" w:rsidR="00063A9A" w:rsidRPr="00063A9A" w:rsidRDefault="00063A9A" w:rsidP="00063A9A">
      <w:pPr>
        <w:pStyle w:val="Testonotaapidipagina"/>
        <w:ind w:left="284" w:right="566"/>
        <w:jc w:val="both"/>
        <w:rPr>
          <w:i/>
          <w:iCs/>
          <w:sz w:val="22"/>
          <w:szCs w:val="22"/>
        </w:rPr>
      </w:pPr>
      <w:r w:rsidRPr="00063A9A">
        <w:rPr>
          <w:i/>
          <w:iCs/>
          <w:sz w:val="22"/>
          <w:szCs w:val="22"/>
        </w:rPr>
        <w:t>(l'esclusione senza contraddittorio dell'offerente in base ai motivi di cui al presente articolo deve essere disapplicata in seguito a Corte di Giustizia della U.E., seconda sezione, 30 gennaio 2020, causa C-395/18, dove priva l’operatore economico offerente della possibilità di dimostrare, conformemente alla direttiva, la propria affidabilità malgrado l’esistenza di una violazione compiuta da uno dei suoi subappaltatori)</w:t>
      </w:r>
    </w:p>
    <w:p w14:paraId="44A09517" w14:textId="77777777" w:rsidR="00063A9A" w:rsidRPr="00063A9A" w:rsidRDefault="00063A9A" w:rsidP="00063A9A">
      <w:pPr>
        <w:pStyle w:val="Testonotaapidipagina"/>
        <w:ind w:left="284" w:right="566"/>
        <w:jc w:val="both"/>
        <w:rPr>
          <w:i/>
          <w:iCs/>
          <w:sz w:val="22"/>
          <w:szCs w:val="22"/>
        </w:rPr>
      </w:pPr>
    </w:p>
    <w:p w14:paraId="5F84664D" w14:textId="77777777" w:rsidR="00063A9A" w:rsidRPr="00063A9A" w:rsidRDefault="00063A9A" w:rsidP="00063A9A">
      <w:pPr>
        <w:pStyle w:val="Testonotaapidipagina"/>
        <w:ind w:left="284" w:right="566"/>
        <w:jc w:val="both"/>
        <w:rPr>
          <w:i/>
          <w:iCs/>
          <w:sz w:val="22"/>
          <w:szCs w:val="22"/>
        </w:rPr>
      </w:pPr>
      <w:r w:rsidRPr="00063A9A">
        <w:rPr>
          <w:i/>
          <w:iCs/>
          <w:sz w:val="22"/>
          <w:szCs w:val="22"/>
        </w:rPr>
        <w:t xml:space="preserve">    a) delitti, consumati o tentati, di cui agli articoli 416, 416-bis del codice penale ovvero delitti commessi avvalendosi delle condizioni previste dal predetto articolo 416-bis ovvero al fine di agevolare l'attività delle associazioni previste dallo stesso articolo, nonché per i delitti, consumati o tentati, previsti dall'articolo 74 del decreto del Presidente della Repubblica 9 ottobre 1990, n. 309, dall’articolo 291-quater del decreto del Presidente della Repubblica 23 gennaio 1973, n. 43 e dall'articolo 260 del decreto legislativo 3 aprile 2006, n. 152, in quanto riconducibili alla partecipazione a un'organizzazione criminale, quale definita all'articolo 2 della decisione quadro 2008/841/GAI del Consiglio;</w:t>
      </w:r>
    </w:p>
    <w:p w14:paraId="755574BB" w14:textId="77777777" w:rsidR="00063A9A" w:rsidRPr="00063A9A" w:rsidRDefault="00063A9A" w:rsidP="00063A9A">
      <w:pPr>
        <w:pStyle w:val="Testonotaapidipagina"/>
        <w:ind w:left="284" w:right="566"/>
        <w:jc w:val="both"/>
        <w:rPr>
          <w:i/>
          <w:iCs/>
          <w:sz w:val="22"/>
          <w:szCs w:val="22"/>
        </w:rPr>
      </w:pPr>
      <w:r w:rsidRPr="00063A9A">
        <w:rPr>
          <w:i/>
          <w:iCs/>
          <w:sz w:val="22"/>
          <w:szCs w:val="22"/>
        </w:rPr>
        <w:t xml:space="preserve">    b) delitti, consumati o tentati, di cui agli articoli 317, 318, 319, 319-ter, 319-quater, 320, 321, 322, 322-bis, 346-bis, 353, 353-bis, 354, 355 e 356 del codice penale nonché all’articolo 2635 del codice civile;</w:t>
      </w:r>
    </w:p>
    <w:p w14:paraId="6A6C2530" w14:textId="77777777" w:rsidR="00063A9A" w:rsidRPr="00063A9A" w:rsidRDefault="00063A9A" w:rsidP="00063A9A">
      <w:pPr>
        <w:pStyle w:val="Testonotaapidipagina"/>
        <w:ind w:left="284" w:right="566"/>
        <w:jc w:val="both"/>
        <w:rPr>
          <w:i/>
          <w:iCs/>
          <w:sz w:val="22"/>
          <w:szCs w:val="22"/>
        </w:rPr>
      </w:pPr>
      <w:r w:rsidRPr="00063A9A">
        <w:rPr>
          <w:i/>
          <w:iCs/>
          <w:sz w:val="22"/>
          <w:szCs w:val="22"/>
        </w:rPr>
        <w:t xml:space="preserve">    b-bis) false comunicazioni sociali di cui agli articoli 2621 e 2622 del codice civile;</w:t>
      </w:r>
    </w:p>
    <w:p w14:paraId="51DB9AFF" w14:textId="77777777" w:rsidR="00063A9A" w:rsidRPr="00063A9A" w:rsidRDefault="00063A9A" w:rsidP="00063A9A">
      <w:pPr>
        <w:pStyle w:val="Testonotaapidipagina"/>
        <w:ind w:left="284" w:right="566"/>
        <w:jc w:val="both"/>
        <w:rPr>
          <w:i/>
          <w:iCs/>
          <w:sz w:val="22"/>
          <w:szCs w:val="22"/>
        </w:rPr>
      </w:pPr>
      <w:r w:rsidRPr="00063A9A">
        <w:rPr>
          <w:i/>
          <w:iCs/>
          <w:sz w:val="22"/>
          <w:szCs w:val="22"/>
        </w:rPr>
        <w:t xml:space="preserve">    c) frode ai sensi dell'articolo 1 della convenzione relativa alla tutela degli interessi finanziari delle Comunità europee;</w:t>
      </w:r>
    </w:p>
    <w:p w14:paraId="70D60C70" w14:textId="77777777" w:rsidR="00063A9A" w:rsidRPr="00063A9A" w:rsidRDefault="00063A9A" w:rsidP="00063A9A">
      <w:pPr>
        <w:pStyle w:val="Testonotaapidipagina"/>
        <w:ind w:left="284" w:right="566"/>
        <w:jc w:val="both"/>
        <w:rPr>
          <w:i/>
          <w:iCs/>
          <w:sz w:val="22"/>
          <w:szCs w:val="22"/>
        </w:rPr>
      </w:pPr>
      <w:r w:rsidRPr="00063A9A">
        <w:rPr>
          <w:i/>
          <w:iCs/>
          <w:sz w:val="22"/>
          <w:szCs w:val="22"/>
        </w:rPr>
        <w:t xml:space="preserve">    d) delitti, consumati o tentati, commessi con finalità di terrorismo, anche internazionale, e di eversione dell'ordine costituzionale reati terroristici o reati connessi alle attività terroristiche;</w:t>
      </w:r>
    </w:p>
    <w:p w14:paraId="5EA822CA" w14:textId="77777777" w:rsidR="00063A9A" w:rsidRPr="00063A9A" w:rsidRDefault="00063A9A" w:rsidP="00063A9A">
      <w:pPr>
        <w:pStyle w:val="Testonotaapidipagina"/>
        <w:ind w:left="284" w:right="566"/>
        <w:jc w:val="both"/>
        <w:rPr>
          <w:i/>
          <w:iCs/>
          <w:sz w:val="22"/>
          <w:szCs w:val="22"/>
        </w:rPr>
      </w:pPr>
      <w:r w:rsidRPr="00063A9A">
        <w:rPr>
          <w:i/>
          <w:iCs/>
          <w:sz w:val="22"/>
          <w:szCs w:val="22"/>
        </w:rPr>
        <w:t xml:space="preserve">    e) delitti di cui agli articoli 648-bis, 648-ter e 648-ter.1 del codice penale, riciclaggio di proventi di attività criminose o finanziamento del terrorismo, quali definiti all'articolo 1 del decreto legislativo 22 giugno 2007, n. 109 e successive modificazioni;</w:t>
      </w:r>
    </w:p>
    <w:p w14:paraId="734B9431" w14:textId="77777777" w:rsidR="00063A9A" w:rsidRPr="00063A9A" w:rsidRDefault="00063A9A" w:rsidP="00063A9A">
      <w:pPr>
        <w:pStyle w:val="Testonotaapidipagina"/>
        <w:ind w:left="284" w:right="566"/>
        <w:jc w:val="both"/>
        <w:rPr>
          <w:i/>
          <w:iCs/>
          <w:sz w:val="22"/>
          <w:szCs w:val="22"/>
        </w:rPr>
      </w:pPr>
      <w:r w:rsidRPr="00063A9A">
        <w:rPr>
          <w:i/>
          <w:iCs/>
          <w:sz w:val="22"/>
          <w:szCs w:val="22"/>
        </w:rPr>
        <w:t xml:space="preserve">    f) sfruttamento del lavoro minorile e altre forme di tratta di esseri umani definite con il decreto legislativo 4 marzo 2014, n. 24;</w:t>
      </w:r>
    </w:p>
    <w:p w14:paraId="358122D3" w14:textId="77777777" w:rsidR="00063A9A" w:rsidRPr="00063A9A" w:rsidRDefault="00063A9A" w:rsidP="00063A9A">
      <w:pPr>
        <w:pStyle w:val="Testonotaapidipagina"/>
        <w:ind w:left="284" w:right="566"/>
        <w:jc w:val="both"/>
        <w:rPr>
          <w:i/>
          <w:iCs/>
          <w:sz w:val="22"/>
          <w:szCs w:val="22"/>
        </w:rPr>
      </w:pPr>
      <w:r w:rsidRPr="00063A9A">
        <w:rPr>
          <w:i/>
          <w:iCs/>
          <w:sz w:val="22"/>
          <w:szCs w:val="22"/>
        </w:rPr>
        <w:t xml:space="preserve">    g) ogni altro delitto da cui derivi, quale pena accessoria, l'incapacità di contrattare con la pubblica amministrazione.</w:t>
      </w:r>
    </w:p>
    <w:p w14:paraId="3621B86B" w14:textId="77777777" w:rsidR="00063A9A" w:rsidRPr="00063A9A" w:rsidRDefault="00063A9A" w:rsidP="00063A9A">
      <w:pPr>
        <w:pStyle w:val="Testonotaapidipagina"/>
        <w:ind w:left="284" w:right="566"/>
        <w:jc w:val="both"/>
        <w:rPr>
          <w:i/>
          <w:iCs/>
          <w:sz w:val="22"/>
          <w:szCs w:val="22"/>
        </w:rPr>
      </w:pPr>
    </w:p>
    <w:p w14:paraId="46ACAA73" w14:textId="77777777" w:rsidR="00063A9A" w:rsidRPr="00063A9A" w:rsidRDefault="00063A9A" w:rsidP="00063A9A">
      <w:pPr>
        <w:pStyle w:val="Testonotaapidipagina"/>
        <w:ind w:left="284" w:right="566"/>
        <w:jc w:val="both"/>
        <w:rPr>
          <w:i/>
          <w:iCs/>
          <w:sz w:val="22"/>
          <w:szCs w:val="22"/>
        </w:rPr>
      </w:pPr>
      <w:r w:rsidRPr="00063A9A">
        <w:rPr>
          <w:i/>
          <w:iCs/>
          <w:sz w:val="22"/>
          <w:szCs w:val="22"/>
        </w:rPr>
        <w:t>2. Costituisce altresì motivo di esclusione la sussistenza, con riferimento ai soggetti indicati al comma 3, di cause di decadenza, di sospensione o di divieto previste dall'articolo 67 del decreto legislativo 6 settembre 2011, n. 159 o di un tentativo di infiltrazione mafiosa di cui all'articolo 84, comma 4, del medesimo decreto. Resta fermo quanto previsto dagli articoli 88, comma 4-bis, e 92, commi 2 e 3, del decreto legislativo 6 settembre 2011, n. 159, con riferimento rispettivamente alle comunicazioni antimafia e alle informazioni antimafia. Resta fermo altresì quanto previsto dall’articolo 34-bis, commi 6 e 7, del decreto legislativo 6 settembre 2011, n. 159.</w:t>
      </w:r>
    </w:p>
    <w:p w14:paraId="6913E5DA" w14:textId="77777777" w:rsidR="00063A9A" w:rsidRPr="00063A9A" w:rsidRDefault="00063A9A" w:rsidP="00063A9A">
      <w:pPr>
        <w:pStyle w:val="Testonotaapidipagina"/>
        <w:ind w:left="284" w:right="566"/>
        <w:jc w:val="both"/>
        <w:rPr>
          <w:i/>
          <w:iCs/>
          <w:sz w:val="22"/>
          <w:szCs w:val="22"/>
        </w:rPr>
      </w:pPr>
      <w:r w:rsidRPr="00063A9A">
        <w:rPr>
          <w:i/>
          <w:iCs/>
          <w:sz w:val="22"/>
          <w:szCs w:val="22"/>
        </w:rPr>
        <w:t>(comma così modificato dall'art. 1, comma 20, lett. o), della legge n. 55 del 2019)</w:t>
      </w:r>
    </w:p>
    <w:p w14:paraId="3B65C180" w14:textId="77777777" w:rsidR="00063A9A" w:rsidRPr="00063A9A" w:rsidRDefault="00063A9A" w:rsidP="00063A9A">
      <w:pPr>
        <w:pStyle w:val="Testonotaapidipagina"/>
        <w:ind w:left="284" w:right="566"/>
        <w:jc w:val="both"/>
        <w:rPr>
          <w:i/>
          <w:iCs/>
          <w:sz w:val="22"/>
          <w:szCs w:val="22"/>
        </w:rPr>
      </w:pPr>
    </w:p>
    <w:p w14:paraId="49BD1527" w14:textId="77777777" w:rsidR="00063A9A" w:rsidRPr="00063A9A" w:rsidRDefault="00063A9A" w:rsidP="00063A9A">
      <w:pPr>
        <w:pStyle w:val="Testonotaapidipagina"/>
        <w:ind w:left="284" w:right="566"/>
        <w:jc w:val="both"/>
        <w:rPr>
          <w:i/>
          <w:iCs/>
          <w:sz w:val="22"/>
          <w:szCs w:val="22"/>
        </w:rPr>
      </w:pPr>
      <w:r w:rsidRPr="00063A9A">
        <w:rPr>
          <w:i/>
          <w:iCs/>
          <w:sz w:val="22"/>
          <w:szCs w:val="22"/>
        </w:rPr>
        <w:t>3. L’esclusione di cui ai commi 1 e 2 va disposta se la sentenza o il decreto ovvero la misura interdittiva sono stati emessi nei confronti: del titolare o del direttore tecnico, se si tratta di impresa individuale; di un socio o del direttore tecnico, se si tratta di società in nome collettivo; dei soci accomandatari o del direttore tecnico, se si tratta di società in accomandita semplice; dei membri del consiglio di amministrazione cui sia stata conferita la legale rappresentanza, ivi compresi institori e procuratori generali, dei membri degli organi con poteri di direzione o di vigilanza o dei soggetti muniti di poteri di rappresentanza, di direzione o di controllo, del direttore tecnico o del socio unico persona fisica, ovvero del socio di maggioranza in caso di società con un numero di soci pari o inferiore a quattro, se si tratta di altro tipo di società o consorzio. In ogni caso l'esclusione e il divieto operano anche nei confronti dei soggetti cessati dalla carica nell'anno antecedente la data di pubblicazione del bando di gara, qualora l'impresa non dimostri che vi sia stata completa ed effettiva dissociazione della condotta penalmente sanzionata; l'esclusione non va disposta e il divieto non si applica quando il reato è stato depenalizzato ovvero quando è intervenuta la riabilitazione ovvero, nei casi di condanna ad una pena accessoria perpetua, quando questa è stata dichiarata estinta ai sensi dell’articolo 179, settimo comma, del codice penale ovvero quando il reato è stato dichiarato estinto dopo la condanna ovvero in caso di revoca della condanna medesima.</w:t>
      </w:r>
    </w:p>
    <w:p w14:paraId="75E16835" w14:textId="77777777" w:rsidR="00063A9A" w:rsidRPr="00063A9A" w:rsidRDefault="00063A9A" w:rsidP="00063A9A">
      <w:pPr>
        <w:pStyle w:val="Testonotaapidipagina"/>
        <w:ind w:left="284" w:right="566"/>
        <w:jc w:val="both"/>
        <w:rPr>
          <w:i/>
          <w:iCs/>
          <w:sz w:val="22"/>
          <w:szCs w:val="22"/>
        </w:rPr>
      </w:pPr>
      <w:r w:rsidRPr="00063A9A">
        <w:rPr>
          <w:i/>
          <w:iCs/>
          <w:sz w:val="22"/>
          <w:szCs w:val="22"/>
        </w:rPr>
        <w:t>(comma così modificato dall'art. 1, comma 20, lett. o), della legge n. 55 del 2019)</w:t>
      </w:r>
    </w:p>
    <w:p w14:paraId="6367C0CC" w14:textId="77777777" w:rsidR="00063A9A" w:rsidRPr="00063A9A" w:rsidRDefault="00063A9A" w:rsidP="00063A9A">
      <w:pPr>
        <w:pStyle w:val="Testonotaapidipagina"/>
        <w:ind w:left="284" w:right="566"/>
        <w:jc w:val="both"/>
        <w:rPr>
          <w:i/>
          <w:iCs/>
          <w:sz w:val="22"/>
          <w:szCs w:val="22"/>
        </w:rPr>
      </w:pPr>
    </w:p>
    <w:p w14:paraId="1E5C4294" w14:textId="77777777" w:rsidR="00063A9A" w:rsidRPr="00063A9A" w:rsidRDefault="00063A9A" w:rsidP="00063A9A">
      <w:pPr>
        <w:pStyle w:val="Testonotaapidipagina"/>
        <w:ind w:left="284" w:right="566"/>
        <w:jc w:val="both"/>
        <w:rPr>
          <w:i/>
          <w:iCs/>
          <w:sz w:val="22"/>
          <w:szCs w:val="22"/>
        </w:rPr>
      </w:pPr>
      <w:r w:rsidRPr="00063A9A">
        <w:rPr>
          <w:i/>
          <w:iCs/>
          <w:sz w:val="22"/>
          <w:szCs w:val="22"/>
        </w:rPr>
        <w:t>4. Un operatore economico è escluso dalla partecipazione a una procedura d'appalto se ha commesso violazioni gravi, definitivamente accertate, rispetto agli obblighi relativi al pagamento delle imposte e tasse o dei contributi previdenziali, secondo la legislazione italiana o quella dello Stato in cui sono stabiliti. Costituiscono gravi violazioni quelle che comportano un omesso pagamento di imposte e tasse superiore all'importo di cui all'articolo 48-bis, commi 1 e 2-bis, del decreto del Presidente della Repubblica 29 settembre 1973, n. 602. Costituiscono violazioni definitivamente accertate quelle contenute in sentenze o atti amministrativi non più soggetti ad impugnazione. Costituiscono gravi violazioni in materia contributiva e previdenziale quelle ostative al rilascio del documento unico di regolarità contributiva (DURC), di cui al all'articolo 8 del decreto del Ministero del lavoro e delle politiche sociali 30 gennaio 2015, pubblicato sulla Gazzetta Ufficiale n. 125 del 1° giugno 2015, ovvero delle certificazioni rilasciate dagli enti previdenziali di riferimento non aderenti al sistema dello sportello unico previdenziale. Un operatore economico può essere escluso dalla partecipazione a una procedura d’appalto se la stazione appaltante è a conoscenza e può adeguatamente dimostrare che lo stesso non ha ottemperato agli obblighi relativi al pagamento delle imposte e tasse o dei contributi previdenziali non definitivamente accertati qualora tale mancato pagamento costituisca una grave violazione ai sensi rispettivamente del secondo o del quarto periodo. Il presente comma non si applica quando l’operatore economico ha ottemperato ai suoi obblighi pagando o impegnandosi in modo vincolante a pagare le imposte o i contributi previdenziali dovuti, compresi eventuali interessi o multe, ovvero quando il debito tributario o previdenziale sia comunque integralmente estinto, purché l’estinzione, il pagamento o l’impegno si siano perfezionati anteriormente alla scadenza del termine per la presentazione delle domande.</w:t>
      </w:r>
    </w:p>
    <w:p w14:paraId="5472F3E4" w14:textId="77777777" w:rsidR="00063A9A" w:rsidRPr="00063A9A" w:rsidRDefault="00063A9A" w:rsidP="00063A9A">
      <w:pPr>
        <w:pStyle w:val="Testonotaapidipagina"/>
        <w:ind w:left="284" w:right="566"/>
        <w:jc w:val="both"/>
        <w:rPr>
          <w:i/>
          <w:iCs/>
          <w:sz w:val="22"/>
          <w:szCs w:val="22"/>
        </w:rPr>
      </w:pPr>
      <w:r w:rsidRPr="00063A9A">
        <w:rPr>
          <w:i/>
          <w:iCs/>
          <w:sz w:val="22"/>
          <w:szCs w:val="22"/>
        </w:rPr>
        <w:t>(comma così modificato dall'art. 8, comma 5, lettera b), della legge n. 120 del 2020)</w:t>
      </w:r>
    </w:p>
    <w:p w14:paraId="590360A5" w14:textId="77777777" w:rsidR="00063A9A" w:rsidRPr="00063A9A" w:rsidRDefault="00063A9A" w:rsidP="00063A9A">
      <w:pPr>
        <w:pStyle w:val="Testonotaapidipagina"/>
        <w:ind w:left="284" w:right="566"/>
        <w:jc w:val="both"/>
        <w:rPr>
          <w:i/>
          <w:iCs/>
          <w:sz w:val="22"/>
          <w:szCs w:val="22"/>
        </w:rPr>
      </w:pPr>
    </w:p>
    <w:p w14:paraId="719F8C94" w14:textId="77777777" w:rsidR="00063A9A" w:rsidRPr="00063A9A" w:rsidRDefault="00063A9A" w:rsidP="00063A9A">
      <w:pPr>
        <w:pStyle w:val="Testonotaapidipagina"/>
        <w:ind w:left="284" w:right="566"/>
        <w:jc w:val="both"/>
        <w:rPr>
          <w:i/>
          <w:iCs/>
          <w:sz w:val="22"/>
          <w:szCs w:val="22"/>
        </w:rPr>
      </w:pPr>
      <w:r w:rsidRPr="00063A9A">
        <w:rPr>
          <w:i/>
          <w:iCs/>
          <w:sz w:val="22"/>
          <w:szCs w:val="22"/>
        </w:rPr>
        <w:t>5. Le stazioni appaltanti escludono dalla partecipazione alla procedura d'appalto un operatore economico in una delle seguenti situazioni, anche riferita a un suo subappaltatore nei casi di cui all'articolo 105, comma 6 qualora:</w:t>
      </w:r>
    </w:p>
    <w:p w14:paraId="10E10686" w14:textId="77777777" w:rsidR="00063A9A" w:rsidRPr="00063A9A" w:rsidRDefault="00063A9A" w:rsidP="00063A9A">
      <w:pPr>
        <w:pStyle w:val="Testonotaapidipagina"/>
        <w:ind w:left="284" w:right="566"/>
        <w:jc w:val="both"/>
        <w:rPr>
          <w:i/>
          <w:iCs/>
          <w:sz w:val="22"/>
          <w:szCs w:val="22"/>
        </w:rPr>
      </w:pPr>
      <w:r w:rsidRPr="00063A9A">
        <w:rPr>
          <w:i/>
          <w:iCs/>
          <w:sz w:val="22"/>
          <w:szCs w:val="22"/>
        </w:rPr>
        <w:t>(ai sensi dell'art. 1, comma 18, secondo periodo, del decreto sblocca-cantieri, fino al 31 dicembre 2020, il subappaltatore non deve essere indicato in fase di gara)</w:t>
      </w:r>
    </w:p>
    <w:p w14:paraId="23C406CB" w14:textId="77777777" w:rsidR="00063A9A" w:rsidRPr="00063A9A" w:rsidRDefault="00063A9A" w:rsidP="00063A9A">
      <w:pPr>
        <w:pStyle w:val="Testonotaapidipagina"/>
        <w:ind w:left="284" w:right="566"/>
        <w:jc w:val="both"/>
        <w:rPr>
          <w:i/>
          <w:iCs/>
          <w:sz w:val="22"/>
          <w:szCs w:val="22"/>
        </w:rPr>
      </w:pPr>
    </w:p>
    <w:p w14:paraId="3245517E" w14:textId="77777777" w:rsidR="00063A9A" w:rsidRPr="00063A9A" w:rsidRDefault="00063A9A" w:rsidP="00063A9A">
      <w:pPr>
        <w:pStyle w:val="Testonotaapidipagina"/>
        <w:ind w:left="284" w:right="566"/>
        <w:jc w:val="both"/>
        <w:rPr>
          <w:i/>
          <w:iCs/>
          <w:sz w:val="22"/>
          <w:szCs w:val="22"/>
        </w:rPr>
      </w:pPr>
      <w:r w:rsidRPr="00063A9A">
        <w:rPr>
          <w:i/>
          <w:iCs/>
          <w:sz w:val="22"/>
          <w:szCs w:val="22"/>
        </w:rPr>
        <w:t xml:space="preserve">    a) la stazione appaltante possa dimostrare con qualunque mezzo adeguato la presenza di gravi infrazioni debitamente accertate alle norme in materia di salute e sicurezza sul lavoro nonché agli obblighi di cui all'articolo 30, comma 3 del presente codice;</w:t>
      </w:r>
    </w:p>
    <w:p w14:paraId="28542E02" w14:textId="77777777" w:rsidR="00063A9A" w:rsidRPr="00063A9A" w:rsidRDefault="00063A9A" w:rsidP="00063A9A">
      <w:pPr>
        <w:pStyle w:val="Testonotaapidipagina"/>
        <w:ind w:left="284" w:right="566"/>
        <w:jc w:val="both"/>
        <w:rPr>
          <w:i/>
          <w:iCs/>
          <w:sz w:val="22"/>
          <w:szCs w:val="22"/>
        </w:rPr>
      </w:pPr>
      <w:r w:rsidRPr="00063A9A">
        <w:rPr>
          <w:i/>
          <w:iCs/>
          <w:sz w:val="22"/>
          <w:szCs w:val="22"/>
        </w:rPr>
        <w:t xml:space="preserve">    b) l’operatore economico sia stato sottoposto a fallimento o si trovi in stato di liquidazione coatta o di concordato preventivo o sia in corso nei suoi confronti un procedimento per la dichiarazione di una di tali situazioni, fermo restando quanto previsto dagli articoli 110 del presente Codice e 186-bis del regio decreto 16 marzo 1942, n. 267;</w:t>
      </w:r>
    </w:p>
    <w:p w14:paraId="4075D765" w14:textId="77777777" w:rsidR="00063A9A" w:rsidRPr="00063A9A" w:rsidRDefault="00063A9A" w:rsidP="00063A9A">
      <w:pPr>
        <w:pStyle w:val="Testonotaapidipagina"/>
        <w:ind w:left="284" w:right="566"/>
        <w:jc w:val="both"/>
        <w:rPr>
          <w:i/>
          <w:iCs/>
          <w:sz w:val="22"/>
          <w:szCs w:val="22"/>
        </w:rPr>
      </w:pPr>
      <w:r w:rsidRPr="00063A9A">
        <w:rPr>
          <w:i/>
          <w:iCs/>
          <w:sz w:val="22"/>
          <w:szCs w:val="22"/>
        </w:rPr>
        <w:t xml:space="preserve">    (lettera così sostituita dall'art. 1, comma 20, lett. o), della legge n. 55 del 2019)</w:t>
      </w:r>
    </w:p>
    <w:p w14:paraId="03D52146" w14:textId="77777777" w:rsidR="00063A9A" w:rsidRPr="00063A9A" w:rsidRDefault="00063A9A" w:rsidP="00063A9A">
      <w:pPr>
        <w:pStyle w:val="Testonotaapidipagina"/>
        <w:ind w:left="284" w:right="566"/>
        <w:jc w:val="both"/>
        <w:rPr>
          <w:i/>
          <w:iCs/>
          <w:sz w:val="22"/>
          <w:szCs w:val="22"/>
        </w:rPr>
      </w:pPr>
    </w:p>
    <w:p w14:paraId="226A3D45" w14:textId="77777777" w:rsidR="00063A9A" w:rsidRPr="00063A9A" w:rsidRDefault="00063A9A" w:rsidP="00063A9A">
      <w:pPr>
        <w:pStyle w:val="Testonotaapidipagina"/>
        <w:ind w:left="284" w:right="566"/>
        <w:jc w:val="both"/>
        <w:rPr>
          <w:i/>
          <w:iCs/>
          <w:sz w:val="22"/>
          <w:szCs w:val="22"/>
        </w:rPr>
      </w:pPr>
      <w:r w:rsidRPr="00063A9A">
        <w:rPr>
          <w:i/>
          <w:iCs/>
          <w:sz w:val="22"/>
          <w:szCs w:val="22"/>
        </w:rPr>
        <w:t xml:space="preserve">    [b) l'operatore economico sia stato sottoposto a liquidazione giudiziale o si trovi in stato di liquidazione coatta o di concordato preventivo o sia in corso nei suoi confronti un procedimento per la dichiarazione di una di tali situazioni, fermo restando quanto previsto dall'articolo 95 del codice della crisi di impresa e dell'insolvenza adottato in attuazione della delega di cui all'articolo 1 della legge 19 ottobre 2017, n. 155 e dall'articolo 110;]</w:t>
      </w:r>
    </w:p>
    <w:p w14:paraId="60BD3471" w14:textId="77777777" w:rsidR="00063A9A" w:rsidRPr="00063A9A" w:rsidRDefault="00063A9A" w:rsidP="00063A9A">
      <w:pPr>
        <w:pStyle w:val="Testonotaapidipagina"/>
        <w:ind w:left="284" w:right="566"/>
        <w:jc w:val="both"/>
        <w:rPr>
          <w:i/>
          <w:iCs/>
          <w:sz w:val="22"/>
          <w:szCs w:val="22"/>
        </w:rPr>
      </w:pPr>
      <w:r w:rsidRPr="00063A9A">
        <w:rPr>
          <w:i/>
          <w:iCs/>
          <w:sz w:val="22"/>
          <w:szCs w:val="22"/>
        </w:rPr>
        <w:t xml:space="preserve">    (lettera così sostituita dall'art. 372, comma 1, del decreto legislativo n. 14 del 2019 a partire dal 1° settembre 2021)</w:t>
      </w:r>
    </w:p>
    <w:p w14:paraId="5591AB9D" w14:textId="77777777" w:rsidR="00063A9A" w:rsidRPr="00063A9A" w:rsidRDefault="00063A9A" w:rsidP="00063A9A">
      <w:pPr>
        <w:pStyle w:val="Testonotaapidipagina"/>
        <w:ind w:left="284" w:right="566"/>
        <w:jc w:val="both"/>
        <w:rPr>
          <w:i/>
          <w:iCs/>
          <w:sz w:val="22"/>
          <w:szCs w:val="22"/>
        </w:rPr>
      </w:pPr>
    </w:p>
    <w:p w14:paraId="50719AB3" w14:textId="77777777" w:rsidR="00063A9A" w:rsidRPr="00063A9A" w:rsidRDefault="00063A9A" w:rsidP="00063A9A">
      <w:pPr>
        <w:pStyle w:val="Testonotaapidipagina"/>
        <w:ind w:left="284" w:right="566"/>
        <w:jc w:val="both"/>
        <w:rPr>
          <w:i/>
          <w:iCs/>
          <w:sz w:val="22"/>
          <w:szCs w:val="22"/>
        </w:rPr>
      </w:pPr>
      <w:r w:rsidRPr="00063A9A">
        <w:rPr>
          <w:i/>
          <w:iCs/>
          <w:sz w:val="22"/>
          <w:szCs w:val="22"/>
        </w:rPr>
        <w:t xml:space="preserve">    c) la stazione appaltante dimostri con mezzi adeguati che l'operatore economico si è reso colpevole di gravi illeciti professionali, tali da rendere dubbia la sua integrità o affidabilità;</w:t>
      </w:r>
    </w:p>
    <w:p w14:paraId="314897C0" w14:textId="77777777" w:rsidR="00063A9A" w:rsidRPr="00063A9A" w:rsidRDefault="00063A9A" w:rsidP="00063A9A">
      <w:pPr>
        <w:pStyle w:val="Testonotaapidipagina"/>
        <w:ind w:left="284" w:right="566"/>
        <w:jc w:val="both"/>
        <w:rPr>
          <w:i/>
          <w:iCs/>
          <w:sz w:val="22"/>
          <w:szCs w:val="22"/>
        </w:rPr>
      </w:pPr>
      <w:r w:rsidRPr="00063A9A">
        <w:rPr>
          <w:i/>
          <w:iCs/>
          <w:sz w:val="22"/>
          <w:szCs w:val="22"/>
        </w:rPr>
        <w:t xml:space="preserve">    c-bis) l'operatore economico abbia tentato di influenzare indebitamente il processo decisionale della stazione appaltante o di ottenere informazioni riservate a fini di proprio vantaggio oppure abbia fornito, anche per negligenza, informazioni false o fuorvianti suscettibili di influenzare le decisioni sull'esclusione, la selezione o l'aggiudicazione, ovvero abbia omesso le informazioni dovute ai fini del corretto svolgimento della procedura di selezione;</w:t>
      </w:r>
    </w:p>
    <w:p w14:paraId="48F2689B" w14:textId="77777777" w:rsidR="00063A9A" w:rsidRPr="00063A9A" w:rsidRDefault="00063A9A" w:rsidP="00063A9A">
      <w:pPr>
        <w:pStyle w:val="Testonotaapidipagina"/>
        <w:ind w:left="284" w:right="566"/>
        <w:jc w:val="both"/>
        <w:rPr>
          <w:i/>
          <w:iCs/>
          <w:sz w:val="22"/>
          <w:szCs w:val="22"/>
        </w:rPr>
      </w:pPr>
      <w:r w:rsidRPr="00063A9A">
        <w:rPr>
          <w:i/>
          <w:iCs/>
          <w:sz w:val="22"/>
          <w:szCs w:val="22"/>
        </w:rPr>
        <w:t xml:space="preserve">    c-ter) l'operatore economico abbia dimostrato significative o persistenti carenze nell'esecuzione di un precedente contratto di appalto o di concessione che ne hanno causato la risoluzione per inadempimento ovvero la condanna al risarcimento del danno o altre sanzioni comparabili; su tali circostanze la stazione appaltante motiva anche con riferimento al tempo trascorso dalla violazione e alla gravità della stessa;</w:t>
      </w:r>
    </w:p>
    <w:p w14:paraId="16A3E392" w14:textId="77777777" w:rsidR="00063A9A" w:rsidRPr="00063A9A" w:rsidRDefault="00063A9A" w:rsidP="00063A9A">
      <w:pPr>
        <w:pStyle w:val="Testonotaapidipagina"/>
        <w:ind w:left="284" w:right="566"/>
        <w:jc w:val="both"/>
        <w:rPr>
          <w:i/>
          <w:iCs/>
          <w:sz w:val="22"/>
          <w:szCs w:val="22"/>
        </w:rPr>
      </w:pPr>
    </w:p>
    <w:p w14:paraId="285E02AD" w14:textId="77777777" w:rsidR="00063A9A" w:rsidRPr="00063A9A" w:rsidRDefault="00063A9A" w:rsidP="00063A9A">
      <w:pPr>
        <w:pStyle w:val="Testonotaapidipagina"/>
        <w:ind w:left="284" w:right="566"/>
        <w:jc w:val="both"/>
        <w:rPr>
          <w:i/>
          <w:iCs/>
          <w:sz w:val="22"/>
          <w:szCs w:val="22"/>
        </w:rPr>
      </w:pPr>
      <w:r w:rsidRPr="00063A9A">
        <w:rPr>
          <w:i/>
          <w:iCs/>
          <w:sz w:val="22"/>
          <w:szCs w:val="22"/>
        </w:rPr>
        <w:t xml:space="preserve">    (lettera c) sostituita dalle lettere c), c-bis) e c-ter) dall'art. 5 del decreto-legge n. 135 del 2018, convertito nella legge n. 12 del 2019)</w:t>
      </w:r>
    </w:p>
    <w:p w14:paraId="399967E3" w14:textId="77777777" w:rsidR="00063A9A" w:rsidRPr="00063A9A" w:rsidRDefault="00063A9A" w:rsidP="00063A9A">
      <w:pPr>
        <w:pStyle w:val="Testonotaapidipagina"/>
        <w:ind w:left="284" w:right="566"/>
        <w:jc w:val="both"/>
        <w:rPr>
          <w:i/>
          <w:iCs/>
          <w:sz w:val="22"/>
          <w:szCs w:val="22"/>
        </w:rPr>
      </w:pPr>
    </w:p>
    <w:p w14:paraId="4D333C6A" w14:textId="77777777" w:rsidR="00063A9A" w:rsidRPr="00063A9A" w:rsidRDefault="00063A9A" w:rsidP="00063A9A">
      <w:pPr>
        <w:pStyle w:val="Testonotaapidipagina"/>
        <w:ind w:left="284" w:right="566"/>
        <w:jc w:val="both"/>
        <w:rPr>
          <w:i/>
          <w:iCs/>
          <w:sz w:val="22"/>
          <w:szCs w:val="22"/>
        </w:rPr>
      </w:pPr>
      <w:r w:rsidRPr="00063A9A">
        <w:rPr>
          <w:i/>
          <w:iCs/>
          <w:sz w:val="22"/>
          <w:szCs w:val="22"/>
        </w:rPr>
        <w:t xml:space="preserve">    c-quater) l’operatore economico abbia commesso grave inadempimento nei confronti di uno o più subappaltatori, riconosciuto o accertato con sentenza passata in giudicato;</w:t>
      </w:r>
    </w:p>
    <w:p w14:paraId="41A19D41" w14:textId="77777777" w:rsidR="00063A9A" w:rsidRPr="00063A9A" w:rsidRDefault="00063A9A" w:rsidP="00063A9A">
      <w:pPr>
        <w:pStyle w:val="Testonotaapidipagina"/>
        <w:ind w:left="284" w:right="566"/>
        <w:jc w:val="both"/>
        <w:rPr>
          <w:i/>
          <w:iCs/>
          <w:sz w:val="22"/>
          <w:szCs w:val="22"/>
        </w:rPr>
      </w:pPr>
      <w:r w:rsidRPr="00063A9A">
        <w:rPr>
          <w:i/>
          <w:iCs/>
          <w:sz w:val="22"/>
          <w:szCs w:val="22"/>
        </w:rPr>
        <w:t xml:space="preserve">    (si vedano le Linee guida n. 6 di ANAC)</w:t>
      </w:r>
    </w:p>
    <w:p w14:paraId="701A8BEB" w14:textId="77777777" w:rsidR="00063A9A" w:rsidRPr="00063A9A" w:rsidRDefault="00063A9A" w:rsidP="00063A9A">
      <w:pPr>
        <w:pStyle w:val="Testonotaapidipagina"/>
        <w:ind w:left="284" w:right="566"/>
        <w:jc w:val="both"/>
        <w:rPr>
          <w:i/>
          <w:iCs/>
          <w:sz w:val="22"/>
          <w:szCs w:val="22"/>
        </w:rPr>
      </w:pPr>
      <w:r w:rsidRPr="00063A9A">
        <w:rPr>
          <w:i/>
          <w:iCs/>
          <w:sz w:val="22"/>
          <w:szCs w:val="22"/>
        </w:rPr>
        <w:t xml:space="preserve">    (lettera introdotta dall'art. 1, comma 20, lettera o), della legge n. 55 del 2019)</w:t>
      </w:r>
    </w:p>
    <w:p w14:paraId="4576B73F" w14:textId="77777777" w:rsidR="00063A9A" w:rsidRPr="00063A9A" w:rsidRDefault="00063A9A" w:rsidP="00063A9A">
      <w:pPr>
        <w:pStyle w:val="Testonotaapidipagina"/>
        <w:ind w:left="284" w:right="566"/>
        <w:jc w:val="both"/>
        <w:rPr>
          <w:i/>
          <w:iCs/>
          <w:sz w:val="22"/>
          <w:szCs w:val="22"/>
        </w:rPr>
      </w:pPr>
    </w:p>
    <w:p w14:paraId="7660D5E8" w14:textId="77777777" w:rsidR="00063A9A" w:rsidRPr="00063A9A" w:rsidRDefault="00063A9A" w:rsidP="00063A9A">
      <w:pPr>
        <w:pStyle w:val="Testonotaapidipagina"/>
        <w:ind w:left="284" w:right="566"/>
        <w:jc w:val="both"/>
        <w:rPr>
          <w:i/>
          <w:iCs/>
          <w:sz w:val="22"/>
          <w:szCs w:val="22"/>
        </w:rPr>
      </w:pPr>
      <w:r w:rsidRPr="00063A9A">
        <w:rPr>
          <w:i/>
          <w:iCs/>
          <w:sz w:val="22"/>
          <w:szCs w:val="22"/>
        </w:rPr>
        <w:t xml:space="preserve">    d) la partecipazione dell'operatore economico determini una situazione di conflitto di interesse ai sensi dell'articolo 42, comma 2, non diversamente risolvibile;</w:t>
      </w:r>
    </w:p>
    <w:p w14:paraId="7BFB264E" w14:textId="77777777" w:rsidR="00063A9A" w:rsidRPr="00063A9A" w:rsidRDefault="00063A9A" w:rsidP="00063A9A">
      <w:pPr>
        <w:pStyle w:val="Testonotaapidipagina"/>
        <w:ind w:left="284" w:right="566"/>
        <w:jc w:val="both"/>
        <w:rPr>
          <w:i/>
          <w:iCs/>
          <w:sz w:val="22"/>
          <w:szCs w:val="22"/>
        </w:rPr>
      </w:pPr>
    </w:p>
    <w:p w14:paraId="6CF97672" w14:textId="77777777" w:rsidR="00063A9A" w:rsidRPr="00063A9A" w:rsidRDefault="00063A9A" w:rsidP="00063A9A">
      <w:pPr>
        <w:pStyle w:val="Testonotaapidipagina"/>
        <w:ind w:left="284" w:right="566"/>
        <w:jc w:val="both"/>
        <w:rPr>
          <w:i/>
          <w:iCs/>
          <w:sz w:val="22"/>
          <w:szCs w:val="22"/>
        </w:rPr>
      </w:pPr>
      <w:r w:rsidRPr="00063A9A">
        <w:rPr>
          <w:i/>
          <w:iCs/>
          <w:sz w:val="22"/>
          <w:szCs w:val="22"/>
        </w:rPr>
        <w:t xml:space="preserve">    e) una distorsione della concorrenza derivante dal precedente coinvolgimento degli operatori economici nella preparazione della procedura d'appalto di cui all'articolo 67 non possa essere risolta con misure meno intrusive;</w:t>
      </w:r>
    </w:p>
    <w:p w14:paraId="3941D3D9" w14:textId="77777777" w:rsidR="00063A9A" w:rsidRPr="00063A9A" w:rsidRDefault="00063A9A" w:rsidP="00063A9A">
      <w:pPr>
        <w:pStyle w:val="Testonotaapidipagina"/>
        <w:ind w:left="284" w:right="566"/>
        <w:jc w:val="both"/>
        <w:rPr>
          <w:i/>
          <w:iCs/>
          <w:sz w:val="22"/>
          <w:szCs w:val="22"/>
        </w:rPr>
      </w:pPr>
    </w:p>
    <w:p w14:paraId="2D68FCFB" w14:textId="77777777" w:rsidR="00063A9A" w:rsidRPr="00063A9A" w:rsidRDefault="00063A9A" w:rsidP="00063A9A">
      <w:pPr>
        <w:pStyle w:val="Testonotaapidipagina"/>
        <w:ind w:left="284" w:right="566"/>
        <w:jc w:val="both"/>
        <w:rPr>
          <w:i/>
          <w:iCs/>
          <w:sz w:val="22"/>
          <w:szCs w:val="22"/>
        </w:rPr>
      </w:pPr>
      <w:r w:rsidRPr="00063A9A">
        <w:rPr>
          <w:i/>
          <w:iCs/>
          <w:sz w:val="22"/>
          <w:szCs w:val="22"/>
        </w:rPr>
        <w:t xml:space="preserve">    f) l'operatore economico sia stato soggetto alla sanzione interdittiva di cui all'articolo 9, comma 2, lettera c) del decreto legislativo 8 giugno 2001, n. 231 o ad altra sanzione che comporta il divieto di contrarre con la pubblica amministrazione, compresi i provvedimenti interdittivi di cui all'articolo 14 del decreto legislativo 9 aprile 2008, n. 81;</w:t>
      </w:r>
    </w:p>
    <w:p w14:paraId="2FBDF829" w14:textId="77777777" w:rsidR="00063A9A" w:rsidRPr="00063A9A" w:rsidRDefault="00063A9A" w:rsidP="00063A9A">
      <w:pPr>
        <w:pStyle w:val="Testonotaapidipagina"/>
        <w:ind w:left="284" w:right="566"/>
        <w:jc w:val="both"/>
        <w:rPr>
          <w:i/>
          <w:iCs/>
          <w:sz w:val="22"/>
          <w:szCs w:val="22"/>
        </w:rPr>
      </w:pPr>
      <w:r w:rsidRPr="00063A9A">
        <w:rPr>
          <w:i/>
          <w:iCs/>
          <w:sz w:val="22"/>
          <w:szCs w:val="22"/>
        </w:rPr>
        <w:t xml:space="preserve">    f-bis) l’operatore economico che presenti nella procedura di gara in corso e negli affidamenti di subappalti documentazione o dichiarazioni non veritiere;</w:t>
      </w:r>
    </w:p>
    <w:p w14:paraId="25E6019B" w14:textId="77777777" w:rsidR="00063A9A" w:rsidRPr="00063A9A" w:rsidRDefault="00063A9A" w:rsidP="00063A9A">
      <w:pPr>
        <w:pStyle w:val="Testonotaapidipagina"/>
        <w:ind w:left="284" w:right="566"/>
        <w:jc w:val="both"/>
        <w:rPr>
          <w:i/>
          <w:iCs/>
          <w:sz w:val="22"/>
          <w:szCs w:val="22"/>
        </w:rPr>
      </w:pPr>
      <w:r w:rsidRPr="00063A9A">
        <w:rPr>
          <w:i/>
          <w:iCs/>
          <w:sz w:val="22"/>
          <w:szCs w:val="22"/>
        </w:rPr>
        <w:t xml:space="preserve">    f-ter) l’operatore economico iscritto nel casellario informatico tenuto dall’Osservatorio dell’ANAC per aver presentato false dichiarazioni o falsa documentazione nelle procedure di gara e negli affidamenti di subappalti. Il motivo di esclusione perdura fino a quando opera l'iscrizione nel casellario informatico;</w:t>
      </w:r>
    </w:p>
    <w:p w14:paraId="03D86071" w14:textId="77777777" w:rsidR="00063A9A" w:rsidRPr="00063A9A" w:rsidRDefault="00063A9A" w:rsidP="00063A9A">
      <w:pPr>
        <w:pStyle w:val="Testonotaapidipagina"/>
        <w:ind w:left="284" w:right="566"/>
        <w:jc w:val="both"/>
        <w:rPr>
          <w:i/>
          <w:iCs/>
          <w:sz w:val="22"/>
          <w:szCs w:val="22"/>
        </w:rPr>
      </w:pPr>
    </w:p>
    <w:p w14:paraId="1EF88D52" w14:textId="77777777" w:rsidR="00063A9A" w:rsidRPr="00063A9A" w:rsidRDefault="00063A9A" w:rsidP="00063A9A">
      <w:pPr>
        <w:pStyle w:val="Testonotaapidipagina"/>
        <w:ind w:left="284" w:right="566"/>
        <w:jc w:val="both"/>
        <w:rPr>
          <w:i/>
          <w:iCs/>
          <w:sz w:val="22"/>
          <w:szCs w:val="22"/>
        </w:rPr>
      </w:pPr>
      <w:r w:rsidRPr="00063A9A">
        <w:rPr>
          <w:i/>
          <w:iCs/>
          <w:sz w:val="22"/>
          <w:szCs w:val="22"/>
        </w:rPr>
        <w:t xml:space="preserve">    g) l'operatore economico iscritto nel casellario informatico tenuto dall'Osservatorio dell'ANAC per aver presentato false dichiarazioni o falsa documentazione ai fini del rilascio dell'attestazione di qualificazione, per il periodo durante il quale perdura l'iscrizione;</w:t>
      </w:r>
    </w:p>
    <w:p w14:paraId="40523418" w14:textId="77777777" w:rsidR="00063A9A" w:rsidRPr="00063A9A" w:rsidRDefault="00063A9A" w:rsidP="00063A9A">
      <w:pPr>
        <w:pStyle w:val="Testonotaapidipagina"/>
        <w:ind w:left="284" w:right="566"/>
        <w:jc w:val="both"/>
        <w:rPr>
          <w:i/>
          <w:iCs/>
          <w:sz w:val="22"/>
          <w:szCs w:val="22"/>
        </w:rPr>
      </w:pPr>
    </w:p>
    <w:p w14:paraId="2CA54420" w14:textId="77777777" w:rsidR="00063A9A" w:rsidRPr="00063A9A" w:rsidRDefault="00063A9A" w:rsidP="00063A9A">
      <w:pPr>
        <w:pStyle w:val="Testonotaapidipagina"/>
        <w:ind w:left="284" w:right="566"/>
        <w:jc w:val="both"/>
        <w:rPr>
          <w:i/>
          <w:iCs/>
          <w:sz w:val="22"/>
          <w:szCs w:val="22"/>
        </w:rPr>
      </w:pPr>
      <w:r w:rsidRPr="00063A9A">
        <w:rPr>
          <w:i/>
          <w:iCs/>
          <w:sz w:val="22"/>
          <w:szCs w:val="22"/>
        </w:rPr>
        <w:t xml:space="preserve">    h) l'operatore economico abbia violato il divieto di intestazione fiduciaria di cui all'articolo 17 della legge 19 marzo 1990, n. 55. L'esclusione ha durata di un anno decorrente dall'accertamento definitivo della violazione e va comunque disposta se la violazione non è stata rimossa;</w:t>
      </w:r>
    </w:p>
    <w:p w14:paraId="5B335D6F" w14:textId="77777777" w:rsidR="00063A9A" w:rsidRPr="00063A9A" w:rsidRDefault="00063A9A" w:rsidP="00063A9A">
      <w:pPr>
        <w:pStyle w:val="Testonotaapidipagina"/>
        <w:ind w:left="284" w:right="566"/>
        <w:jc w:val="both"/>
        <w:rPr>
          <w:i/>
          <w:iCs/>
          <w:sz w:val="22"/>
          <w:szCs w:val="22"/>
        </w:rPr>
      </w:pPr>
    </w:p>
    <w:p w14:paraId="5C94550C" w14:textId="77777777" w:rsidR="00063A9A" w:rsidRPr="00063A9A" w:rsidRDefault="00063A9A" w:rsidP="00063A9A">
      <w:pPr>
        <w:pStyle w:val="Testonotaapidipagina"/>
        <w:ind w:left="284" w:right="566"/>
        <w:jc w:val="both"/>
        <w:rPr>
          <w:i/>
          <w:iCs/>
          <w:sz w:val="22"/>
          <w:szCs w:val="22"/>
        </w:rPr>
      </w:pPr>
      <w:r w:rsidRPr="00063A9A">
        <w:rPr>
          <w:i/>
          <w:iCs/>
          <w:sz w:val="22"/>
          <w:szCs w:val="22"/>
        </w:rPr>
        <w:t xml:space="preserve">    i) l'operatore economico non presenti la certificazione di cui all'articolo 17 della legge 12 marzo 1999, n. 68, ovvero non autocertifichi la sussistenza del medesimo requisito;</w:t>
      </w:r>
    </w:p>
    <w:p w14:paraId="418F9283" w14:textId="77777777" w:rsidR="00063A9A" w:rsidRPr="00063A9A" w:rsidRDefault="00063A9A" w:rsidP="00063A9A">
      <w:pPr>
        <w:pStyle w:val="Testonotaapidipagina"/>
        <w:ind w:left="284" w:right="566"/>
        <w:jc w:val="both"/>
        <w:rPr>
          <w:i/>
          <w:iCs/>
          <w:sz w:val="22"/>
          <w:szCs w:val="22"/>
        </w:rPr>
      </w:pPr>
    </w:p>
    <w:p w14:paraId="3BF48DAC" w14:textId="77777777" w:rsidR="00063A9A" w:rsidRPr="00063A9A" w:rsidRDefault="00063A9A" w:rsidP="00063A9A">
      <w:pPr>
        <w:pStyle w:val="Testonotaapidipagina"/>
        <w:ind w:left="284" w:right="566"/>
        <w:jc w:val="both"/>
        <w:rPr>
          <w:i/>
          <w:iCs/>
          <w:sz w:val="22"/>
          <w:szCs w:val="22"/>
        </w:rPr>
      </w:pPr>
      <w:r w:rsidRPr="00063A9A">
        <w:rPr>
          <w:i/>
          <w:iCs/>
          <w:sz w:val="22"/>
          <w:szCs w:val="22"/>
        </w:rPr>
        <w:t xml:space="preserve">    l) l'operatore economico che, pur essendo stato vittima dei reati previsti e puniti dagli articoli 317 e 629 del codice penale aggravati ai sensi dell'articolo 7 del decreto-legge 13 maggio 1991, n. 152, convertito, con modificazioni, dalla legge 12 luglio 1991, n. 203, non risulti aver denunciato i fatti all'autorità giudiziaria, salvo che ricorrano i casi previsti dall'articolo 4, primo comma, della legge 24 novembre 1981, n. 689. La circostanza di cui al primo periodo deve emergere dagli indizi a base della richiesta di rinvio a giudizio formulata nei confronti dell'imputato nell'anno antecedente alla pubblicazione del bando e deve essere comunicata, unitamente alle generalità del soggetto che ha omesso la predetta denuncia, dal procuratore della Repubblica procedente all'ANAC, la quale cura la pubblicazione della comunicazione sul sito dell'Osservatorio;</w:t>
      </w:r>
    </w:p>
    <w:p w14:paraId="2FEBD069" w14:textId="77777777" w:rsidR="00063A9A" w:rsidRPr="00063A9A" w:rsidRDefault="00063A9A" w:rsidP="00063A9A">
      <w:pPr>
        <w:pStyle w:val="Testonotaapidipagina"/>
        <w:ind w:left="284" w:right="566"/>
        <w:jc w:val="both"/>
        <w:rPr>
          <w:i/>
          <w:iCs/>
          <w:sz w:val="22"/>
          <w:szCs w:val="22"/>
        </w:rPr>
      </w:pPr>
    </w:p>
    <w:p w14:paraId="04A70638" w14:textId="77777777" w:rsidR="00063A9A" w:rsidRPr="00063A9A" w:rsidRDefault="00063A9A" w:rsidP="00063A9A">
      <w:pPr>
        <w:pStyle w:val="Testonotaapidipagina"/>
        <w:ind w:left="284" w:right="566"/>
        <w:jc w:val="both"/>
        <w:rPr>
          <w:i/>
          <w:iCs/>
          <w:sz w:val="22"/>
          <w:szCs w:val="22"/>
        </w:rPr>
      </w:pPr>
      <w:r w:rsidRPr="00063A9A">
        <w:rPr>
          <w:i/>
          <w:iCs/>
          <w:sz w:val="22"/>
          <w:szCs w:val="22"/>
        </w:rPr>
        <w:t xml:space="preserve">    m) l'operatore economico si trovi rispetto ad un altro partecipante alla medesima procedura di affidamento, in una situazione di controllo di cui all'articolo 2359 del codice civile o in una qualsiasi relazione, anche di fatto, se la situazione di controllo o la relazione comporti che le offerte sono imputabili ad un unico centro decisionale.</w:t>
      </w:r>
    </w:p>
    <w:p w14:paraId="16A63D0E" w14:textId="77777777" w:rsidR="00063A9A" w:rsidRPr="00063A9A" w:rsidRDefault="00063A9A" w:rsidP="00063A9A">
      <w:pPr>
        <w:pStyle w:val="Testonotaapidipagina"/>
        <w:ind w:left="284" w:right="566"/>
        <w:jc w:val="both"/>
        <w:rPr>
          <w:i/>
          <w:iCs/>
          <w:sz w:val="22"/>
          <w:szCs w:val="22"/>
        </w:rPr>
      </w:pPr>
    </w:p>
    <w:p w14:paraId="02810A19" w14:textId="77777777" w:rsidR="00063A9A" w:rsidRPr="00063A9A" w:rsidRDefault="00063A9A" w:rsidP="00063A9A">
      <w:pPr>
        <w:pStyle w:val="Testonotaapidipagina"/>
        <w:ind w:left="284" w:right="566"/>
        <w:jc w:val="both"/>
        <w:rPr>
          <w:i/>
          <w:iCs/>
          <w:sz w:val="22"/>
          <w:szCs w:val="22"/>
        </w:rPr>
      </w:pPr>
      <w:r w:rsidRPr="00063A9A">
        <w:rPr>
          <w:i/>
          <w:iCs/>
          <w:sz w:val="22"/>
          <w:szCs w:val="22"/>
        </w:rPr>
        <w:t>6. Le stazioni appaltanti escludono un operatore economico in qualunque momento della procedura, qualora risulti che l'operatore economico si trova, a causa di atti compiuti o omessi prima o nel corso della procedura, in una delle situazioni di cui ai commi 1, 2, 4 e 5.”</w:t>
      </w:r>
    </w:p>
    <w:p w14:paraId="2B6D038D" w14:textId="77777777" w:rsidR="00063A9A" w:rsidRDefault="00063A9A" w:rsidP="00063A9A">
      <w:pPr>
        <w:pStyle w:val="Testonotaapidipagina"/>
        <w:ind w:left="284" w:right="566"/>
        <w:jc w:val="both"/>
        <w:rPr>
          <w:iCs/>
          <w:color w:val="FF0000"/>
          <w:sz w:val="22"/>
          <w:szCs w:val="22"/>
        </w:rPr>
      </w:pPr>
    </w:p>
    <w:p w14:paraId="102E00FC" w14:textId="77777777" w:rsidR="00063A9A" w:rsidRDefault="00063A9A" w:rsidP="00063A9A">
      <w:pPr>
        <w:pStyle w:val="Testonotaapidipagina"/>
        <w:ind w:left="284" w:right="566"/>
        <w:jc w:val="both"/>
        <w:rPr>
          <w:iCs/>
          <w:color w:val="FF0000"/>
          <w:sz w:val="22"/>
          <w:szCs w:val="22"/>
        </w:rPr>
      </w:pPr>
    </w:p>
    <w:p w14:paraId="4FE875F9" w14:textId="77777777" w:rsidR="00063A9A" w:rsidRDefault="00063A9A" w:rsidP="00063A9A">
      <w:pPr>
        <w:pStyle w:val="Testonotaapidipagina"/>
        <w:ind w:left="284" w:right="566"/>
        <w:jc w:val="both"/>
        <w:rPr>
          <w:iCs/>
          <w:color w:val="FF0000"/>
          <w:sz w:val="22"/>
          <w:szCs w:val="22"/>
        </w:rPr>
      </w:pPr>
    </w:p>
    <w:p w14:paraId="2402B4AA" w14:textId="77777777" w:rsidR="002021B2" w:rsidRPr="00F765FD" w:rsidRDefault="002021B2" w:rsidP="00063A9A">
      <w:pPr>
        <w:pStyle w:val="Testonotaapidipagina"/>
        <w:ind w:left="284" w:right="566"/>
        <w:jc w:val="both"/>
        <w:rPr>
          <w:i/>
          <w:sz w:val="22"/>
          <w:szCs w:val="22"/>
        </w:rPr>
      </w:pPr>
    </w:p>
    <w:p w14:paraId="16D9A41E" w14:textId="77777777" w:rsidR="002021B2" w:rsidRPr="00F765FD" w:rsidRDefault="002021B2" w:rsidP="00603EF6">
      <w:pPr>
        <w:pStyle w:val="Testonotaapidipagina"/>
        <w:ind w:left="284" w:right="566"/>
        <w:jc w:val="both"/>
        <w:rPr>
          <w:i/>
          <w:sz w:val="22"/>
          <w:szCs w:val="22"/>
        </w:rPr>
      </w:pPr>
    </w:p>
    <w:p w14:paraId="3679DBE1" w14:textId="77777777" w:rsidR="00AA702E" w:rsidRPr="00F765FD" w:rsidRDefault="00AA702E" w:rsidP="00F765FD">
      <w:pPr>
        <w:pStyle w:val="Testonotaapidipagina"/>
        <w:ind w:left="284" w:right="566"/>
        <w:jc w:val="both"/>
        <w:rPr>
          <w:i/>
          <w:sz w:val="22"/>
          <w:szCs w:val="22"/>
        </w:rPr>
      </w:pPr>
    </w:p>
  </w:footnote>
  <w:footnote w:id="2">
    <w:p w14:paraId="7BF51D6D" w14:textId="77777777" w:rsidR="00B643D5" w:rsidRPr="00B643D5" w:rsidRDefault="00B643D5" w:rsidP="00B643D5">
      <w:pPr>
        <w:pStyle w:val="Testonotaapidipagina"/>
        <w:rPr>
          <w:sz w:val="22"/>
          <w:szCs w:val="22"/>
        </w:rPr>
      </w:pPr>
      <w:r w:rsidRPr="00B643D5">
        <w:rPr>
          <w:rStyle w:val="Rimandonotaapidipagina"/>
          <w:sz w:val="22"/>
          <w:szCs w:val="22"/>
        </w:rPr>
        <w:footnoteRef/>
      </w:r>
      <w:r w:rsidRPr="00B643D5">
        <w:rPr>
          <w:sz w:val="22"/>
          <w:szCs w:val="22"/>
        </w:rPr>
        <w:t xml:space="preserve"> </w:t>
      </w:r>
      <w:r w:rsidRPr="007562D3">
        <w:rPr>
          <w:b/>
          <w:sz w:val="22"/>
          <w:szCs w:val="22"/>
        </w:rPr>
        <w:t>L’art. 24, comma 1 del d</w:t>
      </w:r>
      <w:r w:rsidR="00241D42" w:rsidRPr="007562D3">
        <w:rPr>
          <w:b/>
          <w:sz w:val="22"/>
          <w:szCs w:val="22"/>
        </w:rPr>
        <w:t>pr 313/2002 come modificato dal d</w:t>
      </w:r>
      <w:r w:rsidRPr="007562D3">
        <w:rPr>
          <w:b/>
          <w:sz w:val="22"/>
          <w:szCs w:val="22"/>
        </w:rPr>
        <w:t>.lgs. n. 122 del 2018 dispone</w:t>
      </w:r>
      <w:r w:rsidRPr="00B643D5">
        <w:rPr>
          <w:sz w:val="22"/>
          <w:szCs w:val="22"/>
        </w:rPr>
        <w:t>:</w:t>
      </w:r>
    </w:p>
    <w:p w14:paraId="0576E4E0" w14:textId="77777777" w:rsidR="00B643D5" w:rsidRPr="00B643D5" w:rsidRDefault="00B643D5" w:rsidP="00B643D5">
      <w:pPr>
        <w:pStyle w:val="Testonotaapidipagina"/>
        <w:ind w:left="284" w:right="566"/>
        <w:jc w:val="both"/>
        <w:rPr>
          <w:i/>
          <w:sz w:val="22"/>
          <w:szCs w:val="22"/>
        </w:rPr>
      </w:pPr>
      <w:r w:rsidRPr="00B643D5">
        <w:rPr>
          <w:i/>
          <w:sz w:val="22"/>
          <w:szCs w:val="22"/>
        </w:rPr>
        <w:t>“1. Nel certificato sono riportate le iscrizioni esistenti nel casellario giudiziale ad eccezione di quelle relative:</w:t>
      </w:r>
    </w:p>
    <w:p w14:paraId="3D3705AB" w14:textId="77777777" w:rsidR="00B643D5" w:rsidRPr="00B643D5" w:rsidRDefault="00B643D5" w:rsidP="00B643D5">
      <w:pPr>
        <w:pStyle w:val="Testonotaapidipagina"/>
        <w:ind w:left="284" w:right="566"/>
        <w:jc w:val="both"/>
        <w:rPr>
          <w:i/>
          <w:sz w:val="22"/>
          <w:szCs w:val="22"/>
        </w:rPr>
      </w:pPr>
      <w:r w:rsidRPr="00B643D5">
        <w:rPr>
          <w:i/>
          <w:sz w:val="22"/>
          <w:szCs w:val="22"/>
        </w:rPr>
        <w:t xml:space="preserve">    a) alle condanne delle quali è stato ordinato che non si faccia menzione nel certificato a norma dell'articolo 175 del codice penale, purché il beneficio non sia stato revocato;</w:t>
      </w:r>
    </w:p>
    <w:p w14:paraId="02E155FB" w14:textId="77777777" w:rsidR="00B643D5" w:rsidRPr="00B643D5" w:rsidRDefault="00B643D5" w:rsidP="00B643D5">
      <w:pPr>
        <w:pStyle w:val="Testonotaapidipagina"/>
        <w:ind w:left="284" w:right="566"/>
        <w:jc w:val="both"/>
        <w:rPr>
          <w:i/>
          <w:sz w:val="22"/>
          <w:szCs w:val="22"/>
        </w:rPr>
      </w:pPr>
      <w:r w:rsidRPr="00B643D5">
        <w:rPr>
          <w:i/>
          <w:sz w:val="22"/>
          <w:szCs w:val="22"/>
        </w:rPr>
        <w:t xml:space="preserve">    b) alle condanne per contravvenzioni punibili con la sola ammenda e alle condanne per reati estinti a norma dell'articolo 167, primo comma, del codice penale;</w:t>
      </w:r>
    </w:p>
    <w:p w14:paraId="19AC1E08" w14:textId="77777777" w:rsidR="00B643D5" w:rsidRPr="00B643D5" w:rsidRDefault="00B643D5" w:rsidP="00B643D5">
      <w:pPr>
        <w:pStyle w:val="Testonotaapidipagina"/>
        <w:ind w:left="284" w:right="566"/>
        <w:jc w:val="both"/>
        <w:rPr>
          <w:i/>
          <w:sz w:val="22"/>
          <w:szCs w:val="22"/>
        </w:rPr>
      </w:pPr>
      <w:r w:rsidRPr="00B643D5">
        <w:rPr>
          <w:i/>
          <w:sz w:val="22"/>
          <w:szCs w:val="22"/>
        </w:rPr>
        <w:t xml:space="preserve">    c) alle condanne per i reati per i quali si è verificata la causa speciale di estinzione prevista dall'articolo 556 del codice penale;</w:t>
      </w:r>
    </w:p>
    <w:p w14:paraId="7B08D3F3" w14:textId="77777777" w:rsidR="00B643D5" w:rsidRPr="00B643D5" w:rsidRDefault="00B643D5" w:rsidP="00B643D5">
      <w:pPr>
        <w:pStyle w:val="Testonotaapidipagina"/>
        <w:ind w:left="284" w:right="566"/>
        <w:jc w:val="both"/>
        <w:rPr>
          <w:i/>
          <w:sz w:val="22"/>
          <w:szCs w:val="22"/>
        </w:rPr>
      </w:pPr>
      <w:r w:rsidRPr="00B643D5">
        <w:rPr>
          <w:i/>
          <w:sz w:val="22"/>
          <w:szCs w:val="22"/>
        </w:rPr>
        <w:t xml:space="preserve">    d) alle condanne in relazione alle quali è stata definitivamente applicata l'amnistia e a quelle per le quali è stata dichiarata la riabilitazione, senza che questa sia stata in seguito revocata;</w:t>
      </w:r>
    </w:p>
    <w:p w14:paraId="1CB80738" w14:textId="77777777" w:rsidR="00B643D5" w:rsidRPr="00B643D5" w:rsidRDefault="00B643D5" w:rsidP="00B643D5">
      <w:pPr>
        <w:pStyle w:val="Testonotaapidipagina"/>
        <w:ind w:left="284" w:right="566"/>
        <w:jc w:val="both"/>
        <w:rPr>
          <w:i/>
          <w:sz w:val="22"/>
          <w:szCs w:val="22"/>
        </w:rPr>
      </w:pPr>
      <w:r w:rsidRPr="00B643D5">
        <w:rPr>
          <w:i/>
          <w:sz w:val="22"/>
          <w:szCs w:val="22"/>
        </w:rPr>
        <w:t xml:space="preserve">    e) ai provvedimenti previsti dall'articolo 445 del codice di procedura penale, quando la pena irrogata non superi i due anni di pena detentiva soli o congiunti a pena pecuniaria, e ai decreti penali;</w:t>
      </w:r>
    </w:p>
    <w:p w14:paraId="5AF99F39" w14:textId="77777777" w:rsidR="00B643D5" w:rsidRPr="00B643D5" w:rsidRDefault="00B643D5" w:rsidP="00B643D5">
      <w:pPr>
        <w:pStyle w:val="Testonotaapidipagina"/>
        <w:ind w:left="284" w:right="566"/>
        <w:jc w:val="both"/>
        <w:rPr>
          <w:i/>
          <w:sz w:val="22"/>
          <w:szCs w:val="22"/>
        </w:rPr>
      </w:pPr>
      <w:r w:rsidRPr="00B643D5">
        <w:rPr>
          <w:i/>
          <w:sz w:val="22"/>
          <w:szCs w:val="22"/>
        </w:rPr>
        <w:t xml:space="preserve">    (lettera così modificata dall'art. 4 del d.lgs. n. 122 del 2018)</w:t>
      </w:r>
    </w:p>
    <w:p w14:paraId="355E2A2B" w14:textId="77777777" w:rsidR="00B643D5" w:rsidRPr="00B643D5" w:rsidRDefault="00B643D5" w:rsidP="00B643D5">
      <w:pPr>
        <w:pStyle w:val="Testonotaapidipagina"/>
        <w:ind w:left="284" w:right="566"/>
        <w:jc w:val="both"/>
        <w:rPr>
          <w:i/>
          <w:sz w:val="22"/>
          <w:szCs w:val="22"/>
        </w:rPr>
      </w:pPr>
      <w:r w:rsidRPr="00B643D5">
        <w:rPr>
          <w:i/>
          <w:sz w:val="22"/>
          <w:szCs w:val="22"/>
        </w:rPr>
        <w:t xml:space="preserve">    f) alle condanne per fatti che la legge ha cessato di considerare come reati, quando la relativa iscrizione non è stata eliminata;</w:t>
      </w:r>
    </w:p>
    <w:p w14:paraId="78849300" w14:textId="77777777" w:rsidR="00B643D5" w:rsidRPr="00B643D5" w:rsidRDefault="00B643D5" w:rsidP="00B643D5">
      <w:pPr>
        <w:pStyle w:val="Testonotaapidipagina"/>
        <w:ind w:left="284" w:right="566"/>
        <w:jc w:val="both"/>
        <w:rPr>
          <w:i/>
          <w:sz w:val="22"/>
          <w:szCs w:val="22"/>
        </w:rPr>
      </w:pPr>
      <w:r w:rsidRPr="00B643D5">
        <w:rPr>
          <w:i/>
          <w:sz w:val="22"/>
          <w:szCs w:val="22"/>
        </w:rPr>
        <w:t xml:space="preserve">    f-bis) ai provvedimenti giudiziari che hanno dichiarato la non punibilità ai sensi dell'articolo 131-bis del codice penale, quando la relativa iscrizione non è stata eliminata;</w:t>
      </w:r>
    </w:p>
    <w:p w14:paraId="11086FF9" w14:textId="77777777" w:rsidR="00B643D5" w:rsidRPr="00B643D5" w:rsidRDefault="00B643D5" w:rsidP="00B643D5">
      <w:pPr>
        <w:pStyle w:val="Testonotaapidipagina"/>
        <w:ind w:left="284" w:right="566"/>
        <w:jc w:val="both"/>
        <w:rPr>
          <w:i/>
          <w:sz w:val="22"/>
          <w:szCs w:val="22"/>
        </w:rPr>
      </w:pPr>
      <w:r w:rsidRPr="00B643D5">
        <w:rPr>
          <w:i/>
          <w:sz w:val="22"/>
          <w:szCs w:val="22"/>
        </w:rPr>
        <w:t xml:space="preserve">    (lettera introdotta dall'art. 4 del d.lgs. n. 28 del 2015)</w:t>
      </w:r>
    </w:p>
    <w:p w14:paraId="0BBC586F" w14:textId="77777777" w:rsidR="00B643D5" w:rsidRPr="00B643D5" w:rsidRDefault="00B643D5" w:rsidP="00B643D5">
      <w:pPr>
        <w:pStyle w:val="Testonotaapidipagina"/>
        <w:ind w:left="284" w:right="566"/>
        <w:jc w:val="both"/>
        <w:rPr>
          <w:i/>
          <w:sz w:val="22"/>
          <w:szCs w:val="22"/>
        </w:rPr>
      </w:pPr>
      <w:r w:rsidRPr="00B643D5">
        <w:rPr>
          <w:i/>
          <w:sz w:val="22"/>
          <w:szCs w:val="22"/>
        </w:rPr>
        <w:t xml:space="preserve">    g) ai provvedimenti riguardanti misure di sicurezza conseguenti a sentenze di proscioglimento o di non luogo a procedere, quando le misure sono state revocate;</w:t>
      </w:r>
    </w:p>
    <w:p w14:paraId="53995DE9" w14:textId="77777777" w:rsidR="00B643D5" w:rsidRPr="00B643D5" w:rsidRDefault="00B643D5" w:rsidP="00B643D5">
      <w:pPr>
        <w:pStyle w:val="Testonotaapidipagina"/>
        <w:ind w:left="284" w:right="566"/>
        <w:jc w:val="both"/>
        <w:rPr>
          <w:i/>
          <w:sz w:val="22"/>
          <w:szCs w:val="22"/>
        </w:rPr>
      </w:pPr>
      <w:r w:rsidRPr="00B643D5">
        <w:rPr>
          <w:i/>
          <w:sz w:val="22"/>
          <w:szCs w:val="22"/>
        </w:rPr>
        <w:t xml:space="preserve">    h) ai provvedimenti che riguardano l'applicazione delle misure di prevenzione della sorveglianza speciale semplice o con divieto o obbligo di soggiorno;</w:t>
      </w:r>
    </w:p>
    <w:p w14:paraId="3DB48757" w14:textId="77777777" w:rsidR="00B643D5" w:rsidRPr="00B643D5" w:rsidRDefault="00B643D5" w:rsidP="00B643D5">
      <w:pPr>
        <w:pStyle w:val="Testonotaapidipagina"/>
        <w:ind w:left="284" w:right="566"/>
        <w:jc w:val="both"/>
        <w:rPr>
          <w:i/>
          <w:sz w:val="22"/>
          <w:szCs w:val="22"/>
        </w:rPr>
      </w:pPr>
      <w:r w:rsidRPr="00B643D5">
        <w:rPr>
          <w:i/>
          <w:sz w:val="22"/>
          <w:szCs w:val="22"/>
        </w:rPr>
        <w:t xml:space="preserve">    i) ai provvedimenti giudiziari emessi dal giudice di pace;</w:t>
      </w:r>
    </w:p>
    <w:p w14:paraId="51B8EA53" w14:textId="77777777" w:rsidR="00B643D5" w:rsidRPr="00B643D5" w:rsidRDefault="00B643D5" w:rsidP="00B643D5">
      <w:pPr>
        <w:pStyle w:val="Testonotaapidipagina"/>
        <w:ind w:left="284" w:right="566"/>
        <w:jc w:val="both"/>
        <w:rPr>
          <w:i/>
          <w:sz w:val="22"/>
          <w:szCs w:val="22"/>
        </w:rPr>
      </w:pPr>
      <w:r w:rsidRPr="00B643D5">
        <w:rPr>
          <w:i/>
          <w:sz w:val="22"/>
          <w:szCs w:val="22"/>
        </w:rPr>
        <w:t xml:space="preserve">    l) ai provvedimenti giudiziari relativi ai reati di competenza del giudice di pace emessi da un giudice diverso, limitatamente alle iscrizioni concernenti questi reati;</w:t>
      </w:r>
    </w:p>
    <w:p w14:paraId="3E024433" w14:textId="77777777" w:rsidR="00B643D5" w:rsidRPr="00B643D5" w:rsidRDefault="00B643D5" w:rsidP="00B643D5">
      <w:pPr>
        <w:pStyle w:val="Testonotaapidipagina"/>
        <w:ind w:left="284" w:right="566"/>
        <w:jc w:val="both"/>
        <w:rPr>
          <w:i/>
          <w:sz w:val="22"/>
          <w:szCs w:val="22"/>
        </w:rPr>
      </w:pPr>
      <w:r w:rsidRPr="00B643D5">
        <w:rPr>
          <w:i/>
          <w:sz w:val="22"/>
          <w:szCs w:val="22"/>
        </w:rPr>
        <w:t xml:space="preserve">    m) ai provvedimenti di interdizione, di inabilitazione e relativi all'amministrazione di sostegno, quando esse sono state revocate;</w:t>
      </w:r>
    </w:p>
    <w:p w14:paraId="77FF2E64" w14:textId="77777777" w:rsidR="00B643D5" w:rsidRPr="00B643D5" w:rsidRDefault="00B643D5" w:rsidP="00B643D5">
      <w:pPr>
        <w:pStyle w:val="Testonotaapidipagina"/>
        <w:ind w:left="284" w:right="566"/>
        <w:jc w:val="both"/>
        <w:rPr>
          <w:i/>
          <w:sz w:val="22"/>
          <w:szCs w:val="22"/>
        </w:rPr>
      </w:pPr>
      <w:r w:rsidRPr="00B643D5">
        <w:rPr>
          <w:i/>
          <w:sz w:val="22"/>
          <w:szCs w:val="22"/>
        </w:rPr>
        <w:t xml:space="preserve">    m-bis) ai provvedimenti che ai sensi dell'articolo 464-quater del codice di procedura penale dispongono la sospensione del procedimento con messa alla prova;</w:t>
      </w:r>
    </w:p>
    <w:p w14:paraId="13A3B8AD" w14:textId="77777777" w:rsidR="00B643D5" w:rsidRPr="00B643D5" w:rsidRDefault="00B643D5" w:rsidP="00B643D5">
      <w:pPr>
        <w:pStyle w:val="Testonotaapidipagina"/>
        <w:ind w:left="284" w:right="566"/>
        <w:jc w:val="both"/>
        <w:rPr>
          <w:i/>
          <w:sz w:val="22"/>
          <w:szCs w:val="22"/>
        </w:rPr>
      </w:pPr>
      <w:r w:rsidRPr="00B643D5">
        <w:rPr>
          <w:i/>
          <w:sz w:val="22"/>
          <w:szCs w:val="22"/>
        </w:rPr>
        <w:t xml:space="preserve">    (lettera introdotta dall'art. 4 del d.lgs. n. 122 del 2018)</w:t>
      </w:r>
    </w:p>
    <w:p w14:paraId="0AF0928D" w14:textId="77777777" w:rsidR="00B643D5" w:rsidRPr="00B643D5" w:rsidRDefault="00B643D5" w:rsidP="00B643D5">
      <w:pPr>
        <w:pStyle w:val="Testonotaapidipagina"/>
        <w:ind w:left="284" w:right="566"/>
        <w:jc w:val="both"/>
        <w:rPr>
          <w:i/>
          <w:sz w:val="22"/>
          <w:szCs w:val="22"/>
        </w:rPr>
      </w:pPr>
      <w:r w:rsidRPr="00B643D5">
        <w:rPr>
          <w:i/>
          <w:sz w:val="22"/>
          <w:szCs w:val="22"/>
        </w:rPr>
        <w:t xml:space="preserve">    m-ter) alle sentenze che ai sensi dell'articolo 464-septies del codice di procedura penale dichiarano estinto il reato per esito </w:t>
      </w:r>
      <w:r w:rsidR="00397F15">
        <w:rPr>
          <w:i/>
          <w:sz w:val="22"/>
          <w:szCs w:val="22"/>
        </w:rPr>
        <w:t>positivo della messa alla prova.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8A3B33"/>
    <w:multiLevelType w:val="hybridMultilevel"/>
    <w:tmpl w:val="ACB07D74"/>
    <w:lvl w:ilvl="0" w:tplc="68029E8E">
      <w:start w:val="1"/>
      <w:numFmt w:val="lowerLetter"/>
      <w:lvlText w:val="%1)"/>
      <w:lvlJc w:val="left"/>
      <w:pPr>
        <w:ind w:left="786" w:hanging="360"/>
      </w:pPr>
      <w:rPr>
        <w:rFonts w:cs="Times New Roman"/>
        <w:strike w:val="0"/>
      </w:rPr>
    </w:lvl>
    <w:lvl w:ilvl="1" w:tplc="04100019">
      <w:start w:val="1"/>
      <w:numFmt w:val="lowerLetter"/>
      <w:lvlText w:val="%2."/>
      <w:lvlJc w:val="left"/>
      <w:pPr>
        <w:ind w:left="1866" w:hanging="360"/>
      </w:pPr>
      <w:rPr>
        <w:rFonts w:cs="Times New Roman"/>
      </w:rPr>
    </w:lvl>
    <w:lvl w:ilvl="2" w:tplc="0410001B" w:tentative="1">
      <w:start w:val="1"/>
      <w:numFmt w:val="lowerRoman"/>
      <w:lvlText w:val="%3."/>
      <w:lvlJc w:val="right"/>
      <w:pPr>
        <w:ind w:left="2586" w:hanging="180"/>
      </w:pPr>
      <w:rPr>
        <w:rFonts w:cs="Times New Roman"/>
      </w:rPr>
    </w:lvl>
    <w:lvl w:ilvl="3" w:tplc="0410000F" w:tentative="1">
      <w:start w:val="1"/>
      <w:numFmt w:val="decimal"/>
      <w:lvlText w:val="%4."/>
      <w:lvlJc w:val="left"/>
      <w:pPr>
        <w:ind w:left="3306" w:hanging="360"/>
      </w:pPr>
      <w:rPr>
        <w:rFonts w:cs="Times New Roman"/>
      </w:rPr>
    </w:lvl>
    <w:lvl w:ilvl="4" w:tplc="04100019" w:tentative="1">
      <w:start w:val="1"/>
      <w:numFmt w:val="lowerLetter"/>
      <w:lvlText w:val="%5."/>
      <w:lvlJc w:val="left"/>
      <w:pPr>
        <w:ind w:left="4026" w:hanging="360"/>
      </w:pPr>
      <w:rPr>
        <w:rFonts w:cs="Times New Roman"/>
      </w:rPr>
    </w:lvl>
    <w:lvl w:ilvl="5" w:tplc="0410001B" w:tentative="1">
      <w:start w:val="1"/>
      <w:numFmt w:val="lowerRoman"/>
      <w:lvlText w:val="%6."/>
      <w:lvlJc w:val="right"/>
      <w:pPr>
        <w:ind w:left="4746" w:hanging="180"/>
      </w:pPr>
      <w:rPr>
        <w:rFonts w:cs="Times New Roman"/>
      </w:rPr>
    </w:lvl>
    <w:lvl w:ilvl="6" w:tplc="0410000F" w:tentative="1">
      <w:start w:val="1"/>
      <w:numFmt w:val="decimal"/>
      <w:lvlText w:val="%7."/>
      <w:lvlJc w:val="left"/>
      <w:pPr>
        <w:ind w:left="5466" w:hanging="360"/>
      </w:pPr>
      <w:rPr>
        <w:rFonts w:cs="Times New Roman"/>
      </w:rPr>
    </w:lvl>
    <w:lvl w:ilvl="7" w:tplc="04100019" w:tentative="1">
      <w:start w:val="1"/>
      <w:numFmt w:val="lowerLetter"/>
      <w:lvlText w:val="%8."/>
      <w:lvlJc w:val="left"/>
      <w:pPr>
        <w:ind w:left="6186" w:hanging="360"/>
      </w:pPr>
      <w:rPr>
        <w:rFonts w:cs="Times New Roman"/>
      </w:rPr>
    </w:lvl>
    <w:lvl w:ilvl="8" w:tplc="0410001B" w:tentative="1">
      <w:start w:val="1"/>
      <w:numFmt w:val="lowerRoman"/>
      <w:lvlText w:val="%9."/>
      <w:lvlJc w:val="right"/>
      <w:pPr>
        <w:ind w:left="6906" w:hanging="180"/>
      </w:pPr>
      <w:rPr>
        <w:rFonts w:cs="Times New Roman"/>
      </w:rPr>
    </w:lvl>
  </w:abstractNum>
  <w:abstractNum w:abstractNumId="1" w15:restartNumberingAfterBreak="0">
    <w:nsid w:val="4BC61F23"/>
    <w:multiLevelType w:val="hybridMultilevel"/>
    <w:tmpl w:val="55B202A0"/>
    <w:lvl w:ilvl="0" w:tplc="0410000F">
      <w:start w:val="1"/>
      <w:numFmt w:val="decimal"/>
      <w:lvlText w:val="%1."/>
      <w:lvlJc w:val="left"/>
      <w:pPr>
        <w:ind w:left="1325" w:hanging="360"/>
      </w:pPr>
      <w:rPr>
        <w:rFonts w:cs="Times New Roman"/>
      </w:rPr>
    </w:lvl>
    <w:lvl w:ilvl="1" w:tplc="04100019" w:tentative="1">
      <w:start w:val="1"/>
      <w:numFmt w:val="lowerLetter"/>
      <w:lvlText w:val="%2."/>
      <w:lvlJc w:val="left"/>
      <w:pPr>
        <w:ind w:left="2045" w:hanging="360"/>
      </w:pPr>
      <w:rPr>
        <w:rFonts w:cs="Times New Roman"/>
      </w:rPr>
    </w:lvl>
    <w:lvl w:ilvl="2" w:tplc="0410001B" w:tentative="1">
      <w:start w:val="1"/>
      <w:numFmt w:val="lowerRoman"/>
      <w:lvlText w:val="%3."/>
      <w:lvlJc w:val="right"/>
      <w:pPr>
        <w:ind w:left="2765" w:hanging="180"/>
      </w:pPr>
      <w:rPr>
        <w:rFonts w:cs="Times New Roman"/>
      </w:rPr>
    </w:lvl>
    <w:lvl w:ilvl="3" w:tplc="0410000F" w:tentative="1">
      <w:start w:val="1"/>
      <w:numFmt w:val="decimal"/>
      <w:lvlText w:val="%4."/>
      <w:lvlJc w:val="left"/>
      <w:pPr>
        <w:ind w:left="3485" w:hanging="360"/>
      </w:pPr>
      <w:rPr>
        <w:rFonts w:cs="Times New Roman"/>
      </w:rPr>
    </w:lvl>
    <w:lvl w:ilvl="4" w:tplc="04100019" w:tentative="1">
      <w:start w:val="1"/>
      <w:numFmt w:val="lowerLetter"/>
      <w:lvlText w:val="%5."/>
      <w:lvlJc w:val="left"/>
      <w:pPr>
        <w:ind w:left="4205" w:hanging="360"/>
      </w:pPr>
      <w:rPr>
        <w:rFonts w:cs="Times New Roman"/>
      </w:rPr>
    </w:lvl>
    <w:lvl w:ilvl="5" w:tplc="0410001B" w:tentative="1">
      <w:start w:val="1"/>
      <w:numFmt w:val="lowerRoman"/>
      <w:lvlText w:val="%6."/>
      <w:lvlJc w:val="right"/>
      <w:pPr>
        <w:ind w:left="4925" w:hanging="180"/>
      </w:pPr>
      <w:rPr>
        <w:rFonts w:cs="Times New Roman"/>
      </w:rPr>
    </w:lvl>
    <w:lvl w:ilvl="6" w:tplc="0410000F" w:tentative="1">
      <w:start w:val="1"/>
      <w:numFmt w:val="decimal"/>
      <w:lvlText w:val="%7."/>
      <w:lvlJc w:val="left"/>
      <w:pPr>
        <w:ind w:left="5645" w:hanging="360"/>
      </w:pPr>
      <w:rPr>
        <w:rFonts w:cs="Times New Roman"/>
      </w:rPr>
    </w:lvl>
    <w:lvl w:ilvl="7" w:tplc="04100019" w:tentative="1">
      <w:start w:val="1"/>
      <w:numFmt w:val="lowerLetter"/>
      <w:lvlText w:val="%8."/>
      <w:lvlJc w:val="left"/>
      <w:pPr>
        <w:ind w:left="6365" w:hanging="360"/>
      </w:pPr>
      <w:rPr>
        <w:rFonts w:cs="Times New Roman"/>
      </w:rPr>
    </w:lvl>
    <w:lvl w:ilvl="8" w:tplc="0410001B" w:tentative="1">
      <w:start w:val="1"/>
      <w:numFmt w:val="lowerRoman"/>
      <w:lvlText w:val="%9."/>
      <w:lvlJc w:val="right"/>
      <w:pPr>
        <w:ind w:left="7085" w:hanging="180"/>
      </w:pPr>
      <w:rPr>
        <w:rFonts w:cs="Times New Roman"/>
      </w:rPr>
    </w:lvl>
  </w:abstractNum>
  <w:abstractNum w:abstractNumId="2" w15:restartNumberingAfterBreak="0">
    <w:nsid w:val="4F1C24BB"/>
    <w:multiLevelType w:val="hybridMultilevel"/>
    <w:tmpl w:val="B732B002"/>
    <w:lvl w:ilvl="0" w:tplc="E3EEAAEC">
      <w:start w:val="1"/>
      <w:numFmt w:val="decimal"/>
      <w:lvlText w:val="%1."/>
      <w:lvlJc w:val="left"/>
      <w:pPr>
        <w:tabs>
          <w:tab w:val="num" w:pos="965"/>
        </w:tabs>
        <w:ind w:left="965" w:hanging="360"/>
      </w:pPr>
      <w:rPr>
        <w:rFonts w:cs="Times New Roman" w:hint="default"/>
      </w:rPr>
    </w:lvl>
    <w:lvl w:ilvl="1" w:tplc="04100019" w:tentative="1">
      <w:start w:val="1"/>
      <w:numFmt w:val="lowerLetter"/>
      <w:lvlText w:val="%2."/>
      <w:lvlJc w:val="left"/>
      <w:pPr>
        <w:tabs>
          <w:tab w:val="num" w:pos="1685"/>
        </w:tabs>
        <w:ind w:left="1685" w:hanging="360"/>
      </w:pPr>
      <w:rPr>
        <w:rFonts w:cs="Times New Roman"/>
      </w:rPr>
    </w:lvl>
    <w:lvl w:ilvl="2" w:tplc="0410001B" w:tentative="1">
      <w:start w:val="1"/>
      <w:numFmt w:val="lowerRoman"/>
      <w:lvlText w:val="%3."/>
      <w:lvlJc w:val="right"/>
      <w:pPr>
        <w:tabs>
          <w:tab w:val="num" w:pos="2405"/>
        </w:tabs>
        <w:ind w:left="2405" w:hanging="180"/>
      </w:pPr>
      <w:rPr>
        <w:rFonts w:cs="Times New Roman"/>
      </w:rPr>
    </w:lvl>
    <w:lvl w:ilvl="3" w:tplc="0410000F" w:tentative="1">
      <w:start w:val="1"/>
      <w:numFmt w:val="decimal"/>
      <w:lvlText w:val="%4."/>
      <w:lvlJc w:val="left"/>
      <w:pPr>
        <w:tabs>
          <w:tab w:val="num" w:pos="3125"/>
        </w:tabs>
        <w:ind w:left="3125" w:hanging="360"/>
      </w:pPr>
      <w:rPr>
        <w:rFonts w:cs="Times New Roman"/>
      </w:rPr>
    </w:lvl>
    <w:lvl w:ilvl="4" w:tplc="04100019" w:tentative="1">
      <w:start w:val="1"/>
      <w:numFmt w:val="lowerLetter"/>
      <w:lvlText w:val="%5."/>
      <w:lvlJc w:val="left"/>
      <w:pPr>
        <w:tabs>
          <w:tab w:val="num" w:pos="3845"/>
        </w:tabs>
        <w:ind w:left="3845" w:hanging="360"/>
      </w:pPr>
      <w:rPr>
        <w:rFonts w:cs="Times New Roman"/>
      </w:rPr>
    </w:lvl>
    <w:lvl w:ilvl="5" w:tplc="0410001B" w:tentative="1">
      <w:start w:val="1"/>
      <w:numFmt w:val="lowerRoman"/>
      <w:lvlText w:val="%6."/>
      <w:lvlJc w:val="right"/>
      <w:pPr>
        <w:tabs>
          <w:tab w:val="num" w:pos="4565"/>
        </w:tabs>
        <w:ind w:left="4565" w:hanging="180"/>
      </w:pPr>
      <w:rPr>
        <w:rFonts w:cs="Times New Roman"/>
      </w:rPr>
    </w:lvl>
    <w:lvl w:ilvl="6" w:tplc="0410000F" w:tentative="1">
      <w:start w:val="1"/>
      <w:numFmt w:val="decimal"/>
      <w:lvlText w:val="%7."/>
      <w:lvlJc w:val="left"/>
      <w:pPr>
        <w:tabs>
          <w:tab w:val="num" w:pos="5285"/>
        </w:tabs>
        <w:ind w:left="5285" w:hanging="360"/>
      </w:pPr>
      <w:rPr>
        <w:rFonts w:cs="Times New Roman"/>
      </w:rPr>
    </w:lvl>
    <w:lvl w:ilvl="7" w:tplc="04100019" w:tentative="1">
      <w:start w:val="1"/>
      <w:numFmt w:val="lowerLetter"/>
      <w:lvlText w:val="%8."/>
      <w:lvlJc w:val="left"/>
      <w:pPr>
        <w:tabs>
          <w:tab w:val="num" w:pos="6005"/>
        </w:tabs>
        <w:ind w:left="6005" w:hanging="360"/>
      </w:pPr>
      <w:rPr>
        <w:rFonts w:cs="Times New Roman"/>
      </w:rPr>
    </w:lvl>
    <w:lvl w:ilvl="8" w:tplc="0410001B" w:tentative="1">
      <w:start w:val="1"/>
      <w:numFmt w:val="lowerRoman"/>
      <w:lvlText w:val="%9."/>
      <w:lvlJc w:val="right"/>
      <w:pPr>
        <w:tabs>
          <w:tab w:val="num" w:pos="6725"/>
        </w:tabs>
        <w:ind w:left="6725" w:hanging="180"/>
      </w:pPr>
      <w:rPr>
        <w:rFonts w:cs="Times New Roman"/>
      </w:rPr>
    </w:lvl>
  </w:abstractNum>
  <w:abstractNum w:abstractNumId="3" w15:restartNumberingAfterBreak="0">
    <w:nsid w:val="57CD2C6F"/>
    <w:multiLevelType w:val="multilevel"/>
    <w:tmpl w:val="B1AE0B1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4288"/>
    <w:rsid w:val="000025EF"/>
    <w:rsid w:val="00004F38"/>
    <w:rsid w:val="0004063E"/>
    <w:rsid w:val="000456BC"/>
    <w:rsid w:val="00052454"/>
    <w:rsid w:val="00054F15"/>
    <w:rsid w:val="00063A9A"/>
    <w:rsid w:val="00073090"/>
    <w:rsid w:val="0009102C"/>
    <w:rsid w:val="000B26E7"/>
    <w:rsid w:val="000C6830"/>
    <w:rsid w:val="000D4614"/>
    <w:rsid w:val="000E24D9"/>
    <w:rsid w:val="00157FA6"/>
    <w:rsid w:val="00161D72"/>
    <w:rsid w:val="00167F92"/>
    <w:rsid w:val="001A5418"/>
    <w:rsid w:val="001D0C14"/>
    <w:rsid w:val="001E579F"/>
    <w:rsid w:val="00201422"/>
    <w:rsid w:val="002021B2"/>
    <w:rsid w:val="00241D42"/>
    <w:rsid w:val="00244553"/>
    <w:rsid w:val="002504C5"/>
    <w:rsid w:val="002925C8"/>
    <w:rsid w:val="00292923"/>
    <w:rsid w:val="002C53DF"/>
    <w:rsid w:val="002D36BD"/>
    <w:rsid w:val="0031638C"/>
    <w:rsid w:val="00335EE1"/>
    <w:rsid w:val="003479CA"/>
    <w:rsid w:val="00375BCF"/>
    <w:rsid w:val="0038781E"/>
    <w:rsid w:val="00390775"/>
    <w:rsid w:val="00397F15"/>
    <w:rsid w:val="003A2011"/>
    <w:rsid w:val="003A44B3"/>
    <w:rsid w:val="003C32FE"/>
    <w:rsid w:val="003E3634"/>
    <w:rsid w:val="003E75B7"/>
    <w:rsid w:val="004124C0"/>
    <w:rsid w:val="00417C8B"/>
    <w:rsid w:val="00444798"/>
    <w:rsid w:val="00444FC1"/>
    <w:rsid w:val="004472F9"/>
    <w:rsid w:val="0046493A"/>
    <w:rsid w:val="004D130E"/>
    <w:rsid w:val="004E60D2"/>
    <w:rsid w:val="005505D6"/>
    <w:rsid w:val="00587B63"/>
    <w:rsid w:val="005B5813"/>
    <w:rsid w:val="005C3057"/>
    <w:rsid w:val="005C58A4"/>
    <w:rsid w:val="005C639A"/>
    <w:rsid w:val="005E3D8E"/>
    <w:rsid w:val="005E4A33"/>
    <w:rsid w:val="00603EF6"/>
    <w:rsid w:val="00605E78"/>
    <w:rsid w:val="006109F9"/>
    <w:rsid w:val="006138E8"/>
    <w:rsid w:val="0067287D"/>
    <w:rsid w:val="0069785F"/>
    <w:rsid w:val="006D5780"/>
    <w:rsid w:val="006E68ED"/>
    <w:rsid w:val="007414CB"/>
    <w:rsid w:val="007444C8"/>
    <w:rsid w:val="007448D7"/>
    <w:rsid w:val="0074629D"/>
    <w:rsid w:val="007562D3"/>
    <w:rsid w:val="00790550"/>
    <w:rsid w:val="007B0349"/>
    <w:rsid w:val="007C6922"/>
    <w:rsid w:val="007E1A89"/>
    <w:rsid w:val="0081305F"/>
    <w:rsid w:val="00820487"/>
    <w:rsid w:val="00844461"/>
    <w:rsid w:val="00847D2B"/>
    <w:rsid w:val="008A026E"/>
    <w:rsid w:val="008B26C0"/>
    <w:rsid w:val="008F4288"/>
    <w:rsid w:val="009062DA"/>
    <w:rsid w:val="00913EAA"/>
    <w:rsid w:val="009226CC"/>
    <w:rsid w:val="00933633"/>
    <w:rsid w:val="009437F1"/>
    <w:rsid w:val="009460B4"/>
    <w:rsid w:val="00951193"/>
    <w:rsid w:val="00963FF2"/>
    <w:rsid w:val="00964AA1"/>
    <w:rsid w:val="009930D3"/>
    <w:rsid w:val="009B1F32"/>
    <w:rsid w:val="009B5D3E"/>
    <w:rsid w:val="009C46C2"/>
    <w:rsid w:val="009C4EEB"/>
    <w:rsid w:val="009F297F"/>
    <w:rsid w:val="009F3DDE"/>
    <w:rsid w:val="00A15D09"/>
    <w:rsid w:val="00A21B76"/>
    <w:rsid w:val="00A52978"/>
    <w:rsid w:val="00A83879"/>
    <w:rsid w:val="00A95F9F"/>
    <w:rsid w:val="00AA30FC"/>
    <w:rsid w:val="00AA702E"/>
    <w:rsid w:val="00AC765D"/>
    <w:rsid w:val="00AD1554"/>
    <w:rsid w:val="00AD5D0C"/>
    <w:rsid w:val="00B02406"/>
    <w:rsid w:val="00B0490B"/>
    <w:rsid w:val="00B11A5B"/>
    <w:rsid w:val="00B6252C"/>
    <w:rsid w:val="00B643D5"/>
    <w:rsid w:val="00B9117A"/>
    <w:rsid w:val="00BA48A5"/>
    <w:rsid w:val="00BC554F"/>
    <w:rsid w:val="00BE61CD"/>
    <w:rsid w:val="00C135E3"/>
    <w:rsid w:val="00C13938"/>
    <w:rsid w:val="00C16B96"/>
    <w:rsid w:val="00C35630"/>
    <w:rsid w:val="00C532CA"/>
    <w:rsid w:val="00C93365"/>
    <w:rsid w:val="00C96A25"/>
    <w:rsid w:val="00CD2796"/>
    <w:rsid w:val="00CE593D"/>
    <w:rsid w:val="00CE64CD"/>
    <w:rsid w:val="00D14E69"/>
    <w:rsid w:val="00D51183"/>
    <w:rsid w:val="00D52E31"/>
    <w:rsid w:val="00D815DE"/>
    <w:rsid w:val="00D9064E"/>
    <w:rsid w:val="00DA5298"/>
    <w:rsid w:val="00DB79E0"/>
    <w:rsid w:val="00DC4B8C"/>
    <w:rsid w:val="00DF5568"/>
    <w:rsid w:val="00E11EBD"/>
    <w:rsid w:val="00E31087"/>
    <w:rsid w:val="00E32CDC"/>
    <w:rsid w:val="00E56D43"/>
    <w:rsid w:val="00E85CE8"/>
    <w:rsid w:val="00EA5BB3"/>
    <w:rsid w:val="00EC09EC"/>
    <w:rsid w:val="00F00E59"/>
    <w:rsid w:val="00F33A1E"/>
    <w:rsid w:val="00F765FD"/>
    <w:rsid w:val="00F86BDD"/>
    <w:rsid w:val="00FA6BA1"/>
    <w:rsid w:val="00FC29F3"/>
    <w:rsid w:val="00FC761F"/>
    <w:rsid w:val="00FE4B67"/>
  </w:rsids>
  <m:mathPr>
    <m:mathFont m:val="Cambria Math"/>
    <m:brkBin m:val="before"/>
    <m:brkBinSub m:val="--"/>
    <m:smallFrac m:val="0"/>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9F1430"/>
  <w15:docId w15:val="{32688E64-6D76-43C9-B26D-1D697EE35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t-IT"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sz w:val="24"/>
      <w:szCs w:val="24"/>
      <w:lang w:eastAsia="it-IT"/>
    </w:rPr>
  </w:style>
  <w:style w:type="paragraph" w:styleId="Titolo2">
    <w:name w:val="heading 2"/>
    <w:basedOn w:val="Normale"/>
    <w:next w:val="Normale"/>
    <w:link w:val="Titolo2Carattere"/>
    <w:uiPriority w:val="99"/>
    <w:qFormat/>
    <w:locked/>
    <w:pPr>
      <w:keepNext/>
      <w:spacing w:before="240" w:after="60"/>
      <w:outlineLvl w:val="1"/>
    </w:pPr>
    <w:rPr>
      <w:rFonts w:ascii="Arial" w:eastAsia="Calibri" w:hAnsi="Arial"/>
      <w:b/>
      <w:i/>
      <w:sz w:val="28"/>
      <w:szCs w:val="20"/>
    </w:rPr>
  </w:style>
  <w:style w:type="paragraph" w:styleId="Titolo3">
    <w:name w:val="heading 3"/>
    <w:basedOn w:val="Normale"/>
    <w:next w:val="Normale"/>
    <w:link w:val="Titolo3Carattere"/>
    <w:semiHidden/>
    <w:unhideWhenUsed/>
    <w:qFormat/>
    <w:locked/>
    <w:rsid w:val="00CE593D"/>
    <w:pPr>
      <w:keepNext/>
      <w:keepLines/>
      <w:spacing w:before="40"/>
      <w:outlineLvl w:val="2"/>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Heading2Char">
    <w:name w:val="Heading 2 Char"/>
    <w:uiPriority w:val="99"/>
    <w:semiHidden/>
    <w:locked/>
    <w:rPr>
      <w:rFonts w:ascii="Cambria" w:hAnsi="Cambria" w:cs="Times New Roman"/>
      <w:b/>
      <w:bCs/>
      <w:i/>
      <w:iCs/>
      <w:sz w:val="28"/>
      <w:szCs w:val="28"/>
    </w:rPr>
  </w:style>
  <w:style w:type="paragraph" w:styleId="Testonotaapidipagina">
    <w:name w:val="footnote text"/>
    <w:basedOn w:val="Normale"/>
    <w:link w:val="TestonotaapidipaginaCarattere"/>
    <w:uiPriority w:val="99"/>
    <w:rPr>
      <w:sz w:val="20"/>
      <w:szCs w:val="20"/>
    </w:rPr>
  </w:style>
  <w:style w:type="character" w:customStyle="1" w:styleId="TestonotaapidipaginaCarattere">
    <w:name w:val="Testo nota a piè di pagina Carattere"/>
    <w:link w:val="Testonotaapidipagina"/>
    <w:uiPriority w:val="99"/>
    <w:locked/>
    <w:rPr>
      <w:rFonts w:ascii="Times New Roman" w:hAnsi="Times New Roman" w:cs="Times New Roman"/>
      <w:sz w:val="20"/>
      <w:szCs w:val="20"/>
      <w:lang w:eastAsia="it-IT"/>
    </w:rPr>
  </w:style>
  <w:style w:type="character" w:styleId="Rimandonotaapidipagina">
    <w:name w:val="footnote reference"/>
    <w:uiPriority w:val="99"/>
    <w:rPr>
      <w:rFonts w:cs="Times New Roman"/>
      <w:vertAlign w:val="superscript"/>
    </w:rPr>
  </w:style>
  <w:style w:type="paragraph" w:customStyle="1" w:styleId="Normale1">
    <w:name w:val="Normale1"/>
    <w:basedOn w:val="Normale"/>
    <w:uiPriority w:val="99"/>
    <w:pPr>
      <w:spacing w:before="120"/>
      <w:jc w:val="both"/>
    </w:pPr>
  </w:style>
  <w:style w:type="paragraph" w:styleId="Paragrafoelenco">
    <w:name w:val="List Paragraph"/>
    <w:basedOn w:val="Normale"/>
    <w:uiPriority w:val="99"/>
    <w:qFormat/>
    <w:pPr>
      <w:ind w:left="720"/>
      <w:contextualSpacing/>
    </w:pPr>
  </w:style>
  <w:style w:type="paragraph" w:customStyle="1" w:styleId="Normale2">
    <w:name w:val="Normale2"/>
    <w:basedOn w:val="Normale"/>
    <w:uiPriority w:val="99"/>
    <w:pPr>
      <w:spacing w:before="120"/>
      <w:jc w:val="both"/>
    </w:pPr>
  </w:style>
  <w:style w:type="character" w:customStyle="1" w:styleId="Titolo2Carattere">
    <w:name w:val="Titolo 2 Carattere"/>
    <w:link w:val="Titolo2"/>
    <w:uiPriority w:val="99"/>
    <w:locked/>
    <w:rPr>
      <w:rFonts w:ascii="Arial" w:hAnsi="Arial"/>
      <w:b/>
      <w:i/>
      <w:sz w:val="28"/>
      <w:lang w:val="it-IT" w:eastAsia="it-IT"/>
    </w:rPr>
  </w:style>
  <w:style w:type="numbering" w:customStyle="1" w:styleId="Stile31">
    <w:name w:val="Stile31"/>
    <w:rsid w:val="00DC4B8C"/>
  </w:style>
  <w:style w:type="character" w:styleId="Collegamentoipertestuale">
    <w:name w:val="Hyperlink"/>
    <w:basedOn w:val="Carpredefinitoparagrafo"/>
    <w:uiPriority w:val="99"/>
    <w:semiHidden/>
    <w:unhideWhenUsed/>
    <w:rsid w:val="00C93365"/>
    <w:rPr>
      <w:color w:val="0000FF"/>
      <w:u w:val="single"/>
    </w:rPr>
  </w:style>
  <w:style w:type="paragraph" w:styleId="Testofumetto">
    <w:name w:val="Balloon Text"/>
    <w:basedOn w:val="Normale"/>
    <w:link w:val="TestofumettoCarattere"/>
    <w:uiPriority w:val="99"/>
    <w:semiHidden/>
    <w:unhideWhenUsed/>
    <w:rsid w:val="005B5813"/>
    <w:rPr>
      <w:sz w:val="18"/>
      <w:szCs w:val="18"/>
    </w:rPr>
  </w:style>
  <w:style w:type="character" w:customStyle="1" w:styleId="TestofumettoCarattere">
    <w:name w:val="Testo fumetto Carattere"/>
    <w:basedOn w:val="Carpredefinitoparagrafo"/>
    <w:link w:val="Testofumetto"/>
    <w:uiPriority w:val="99"/>
    <w:semiHidden/>
    <w:rsid w:val="005B5813"/>
    <w:rPr>
      <w:rFonts w:ascii="Times New Roman" w:eastAsia="Times New Roman" w:hAnsi="Times New Roman"/>
      <w:sz w:val="18"/>
      <w:szCs w:val="18"/>
      <w:lang w:eastAsia="it-IT"/>
    </w:rPr>
  </w:style>
  <w:style w:type="paragraph" w:styleId="NormaleWeb">
    <w:name w:val="Normal (Web)"/>
    <w:basedOn w:val="Normale"/>
    <w:uiPriority w:val="99"/>
    <w:unhideWhenUsed/>
    <w:rsid w:val="00AD1554"/>
    <w:pPr>
      <w:spacing w:before="100" w:beforeAutospacing="1" w:after="100" w:afterAutospacing="1"/>
    </w:pPr>
    <w:rPr>
      <w:lang w:eastAsia="zh-CN"/>
    </w:rPr>
  </w:style>
  <w:style w:type="character" w:customStyle="1" w:styleId="Titolo3Carattere">
    <w:name w:val="Titolo 3 Carattere"/>
    <w:basedOn w:val="Carpredefinitoparagrafo"/>
    <w:link w:val="Titolo3"/>
    <w:semiHidden/>
    <w:rsid w:val="00CE593D"/>
    <w:rPr>
      <w:rFonts w:asciiTheme="majorHAnsi" w:eastAsiaTheme="majorEastAsia" w:hAnsiTheme="majorHAnsi" w:cstheme="majorBidi"/>
      <w:color w:val="243F60" w:themeColor="accent1" w:themeShade="7F"/>
      <w:sz w:val="24"/>
      <w:szCs w:val="24"/>
      <w:lang w:eastAsia="it-IT"/>
    </w:rPr>
  </w:style>
  <w:style w:type="character" w:customStyle="1" w:styleId="linkgazzetta">
    <w:name w:val="link_gazzetta"/>
    <w:basedOn w:val="Carpredefinitoparagrafo"/>
    <w:rsid w:val="00CE593D"/>
  </w:style>
  <w:style w:type="paragraph" w:styleId="PreformattatoHTML">
    <w:name w:val="HTML Preformatted"/>
    <w:basedOn w:val="Normale"/>
    <w:link w:val="PreformattatoHTMLCarattere"/>
    <w:uiPriority w:val="99"/>
    <w:semiHidden/>
    <w:unhideWhenUsed/>
    <w:rsid w:val="00167F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formattatoHTMLCarattere">
    <w:name w:val="Preformattato HTML Carattere"/>
    <w:basedOn w:val="Carpredefinitoparagrafo"/>
    <w:link w:val="PreformattatoHTML"/>
    <w:uiPriority w:val="99"/>
    <w:semiHidden/>
    <w:rsid w:val="00167F92"/>
    <w:rPr>
      <w:rFonts w:ascii="Courier New" w:eastAsia="Times New Roman" w:hAnsi="Courier New" w:cs="Courier New"/>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393674">
      <w:bodyDiv w:val="1"/>
      <w:marLeft w:val="0"/>
      <w:marRight w:val="0"/>
      <w:marTop w:val="0"/>
      <w:marBottom w:val="0"/>
      <w:divBdr>
        <w:top w:val="none" w:sz="0" w:space="0" w:color="auto"/>
        <w:left w:val="none" w:sz="0" w:space="0" w:color="auto"/>
        <w:bottom w:val="none" w:sz="0" w:space="0" w:color="auto"/>
        <w:right w:val="none" w:sz="0" w:space="0" w:color="auto"/>
      </w:divBdr>
    </w:div>
    <w:div w:id="824010146">
      <w:bodyDiv w:val="1"/>
      <w:marLeft w:val="0"/>
      <w:marRight w:val="0"/>
      <w:marTop w:val="0"/>
      <w:marBottom w:val="0"/>
      <w:divBdr>
        <w:top w:val="none" w:sz="0" w:space="0" w:color="auto"/>
        <w:left w:val="none" w:sz="0" w:space="0" w:color="auto"/>
        <w:bottom w:val="none" w:sz="0" w:space="0" w:color="auto"/>
        <w:right w:val="none" w:sz="0" w:space="0" w:color="auto"/>
      </w:divBdr>
      <w:divsChild>
        <w:div w:id="1215578358">
          <w:marLeft w:val="0"/>
          <w:marRight w:val="0"/>
          <w:marTop w:val="0"/>
          <w:marBottom w:val="0"/>
          <w:divBdr>
            <w:top w:val="none" w:sz="0" w:space="0" w:color="auto"/>
            <w:left w:val="none" w:sz="0" w:space="0" w:color="auto"/>
            <w:bottom w:val="none" w:sz="0" w:space="0" w:color="auto"/>
            <w:right w:val="none" w:sz="0" w:space="0" w:color="auto"/>
          </w:divBdr>
          <w:divsChild>
            <w:div w:id="2022514175">
              <w:marLeft w:val="0"/>
              <w:marRight w:val="0"/>
              <w:marTop w:val="0"/>
              <w:marBottom w:val="0"/>
              <w:divBdr>
                <w:top w:val="none" w:sz="0" w:space="0" w:color="auto"/>
                <w:left w:val="none" w:sz="0" w:space="0" w:color="auto"/>
                <w:bottom w:val="none" w:sz="0" w:space="0" w:color="auto"/>
                <w:right w:val="none" w:sz="0" w:space="0" w:color="auto"/>
              </w:divBdr>
              <w:divsChild>
                <w:div w:id="143631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481888">
      <w:bodyDiv w:val="1"/>
      <w:marLeft w:val="0"/>
      <w:marRight w:val="0"/>
      <w:marTop w:val="0"/>
      <w:marBottom w:val="0"/>
      <w:divBdr>
        <w:top w:val="none" w:sz="0" w:space="0" w:color="auto"/>
        <w:left w:val="none" w:sz="0" w:space="0" w:color="auto"/>
        <w:bottom w:val="none" w:sz="0" w:space="0" w:color="auto"/>
        <w:right w:val="none" w:sz="0" w:space="0" w:color="auto"/>
      </w:divBdr>
      <w:divsChild>
        <w:div w:id="1027102114">
          <w:marLeft w:val="0"/>
          <w:marRight w:val="0"/>
          <w:marTop w:val="0"/>
          <w:marBottom w:val="0"/>
          <w:divBdr>
            <w:top w:val="none" w:sz="0" w:space="0" w:color="auto"/>
            <w:left w:val="none" w:sz="0" w:space="0" w:color="auto"/>
            <w:bottom w:val="none" w:sz="0" w:space="0" w:color="auto"/>
            <w:right w:val="none" w:sz="0" w:space="0" w:color="auto"/>
          </w:divBdr>
          <w:divsChild>
            <w:div w:id="240218799">
              <w:marLeft w:val="0"/>
              <w:marRight w:val="0"/>
              <w:marTop w:val="0"/>
              <w:marBottom w:val="0"/>
              <w:divBdr>
                <w:top w:val="none" w:sz="0" w:space="0" w:color="auto"/>
                <w:left w:val="none" w:sz="0" w:space="0" w:color="auto"/>
                <w:bottom w:val="none" w:sz="0" w:space="0" w:color="auto"/>
                <w:right w:val="none" w:sz="0" w:space="0" w:color="auto"/>
              </w:divBdr>
              <w:divsChild>
                <w:div w:id="195625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644291">
      <w:bodyDiv w:val="1"/>
      <w:marLeft w:val="0"/>
      <w:marRight w:val="0"/>
      <w:marTop w:val="0"/>
      <w:marBottom w:val="0"/>
      <w:divBdr>
        <w:top w:val="none" w:sz="0" w:space="0" w:color="auto"/>
        <w:left w:val="none" w:sz="0" w:space="0" w:color="auto"/>
        <w:bottom w:val="none" w:sz="0" w:space="0" w:color="auto"/>
        <w:right w:val="none" w:sz="0" w:space="0" w:color="auto"/>
      </w:divBdr>
      <w:divsChild>
        <w:div w:id="9455820">
          <w:blockQuote w:val="1"/>
          <w:marLeft w:val="720"/>
          <w:marRight w:val="720"/>
          <w:marTop w:val="100"/>
          <w:marBottom w:val="100"/>
          <w:divBdr>
            <w:top w:val="none" w:sz="0" w:space="0" w:color="auto"/>
            <w:left w:val="none" w:sz="0" w:space="0" w:color="auto"/>
            <w:bottom w:val="none" w:sz="0" w:space="0" w:color="auto"/>
            <w:right w:val="none" w:sz="0" w:space="0" w:color="auto"/>
          </w:divBdr>
        </w:div>
        <w:div w:id="13529496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3349979">
      <w:bodyDiv w:val="1"/>
      <w:marLeft w:val="0"/>
      <w:marRight w:val="0"/>
      <w:marTop w:val="0"/>
      <w:marBottom w:val="0"/>
      <w:divBdr>
        <w:top w:val="none" w:sz="0" w:space="0" w:color="auto"/>
        <w:left w:val="none" w:sz="0" w:space="0" w:color="auto"/>
        <w:bottom w:val="none" w:sz="0" w:space="0" w:color="auto"/>
        <w:right w:val="none" w:sz="0" w:space="0" w:color="auto"/>
      </w:divBdr>
      <w:divsChild>
        <w:div w:id="1423380126">
          <w:marLeft w:val="0"/>
          <w:marRight w:val="0"/>
          <w:marTop w:val="0"/>
          <w:marBottom w:val="0"/>
          <w:divBdr>
            <w:top w:val="none" w:sz="0" w:space="0" w:color="auto"/>
            <w:left w:val="none" w:sz="0" w:space="0" w:color="auto"/>
            <w:bottom w:val="none" w:sz="0" w:space="0" w:color="auto"/>
            <w:right w:val="none" w:sz="0" w:space="0" w:color="auto"/>
          </w:divBdr>
          <w:divsChild>
            <w:div w:id="879899687">
              <w:marLeft w:val="0"/>
              <w:marRight w:val="0"/>
              <w:marTop w:val="0"/>
              <w:marBottom w:val="0"/>
              <w:divBdr>
                <w:top w:val="none" w:sz="0" w:space="0" w:color="auto"/>
                <w:left w:val="none" w:sz="0" w:space="0" w:color="auto"/>
                <w:bottom w:val="none" w:sz="0" w:space="0" w:color="auto"/>
                <w:right w:val="none" w:sz="0" w:space="0" w:color="auto"/>
              </w:divBdr>
              <w:divsChild>
                <w:div w:id="1637762755">
                  <w:marLeft w:val="0"/>
                  <w:marRight w:val="0"/>
                  <w:marTop w:val="0"/>
                  <w:marBottom w:val="0"/>
                  <w:divBdr>
                    <w:top w:val="none" w:sz="0" w:space="0" w:color="auto"/>
                    <w:left w:val="none" w:sz="0" w:space="0" w:color="auto"/>
                    <w:bottom w:val="none" w:sz="0" w:space="0" w:color="auto"/>
                    <w:right w:val="none" w:sz="0" w:space="0" w:color="auto"/>
                  </w:divBdr>
                  <w:divsChild>
                    <w:div w:id="138105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6697952">
      <w:bodyDiv w:val="1"/>
      <w:marLeft w:val="0"/>
      <w:marRight w:val="0"/>
      <w:marTop w:val="0"/>
      <w:marBottom w:val="0"/>
      <w:divBdr>
        <w:top w:val="none" w:sz="0" w:space="0" w:color="auto"/>
        <w:left w:val="none" w:sz="0" w:space="0" w:color="auto"/>
        <w:bottom w:val="none" w:sz="0" w:space="0" w:color="auto"/>
        <w:right w:val="none" w:sz="0" w:space="0" w:color="auto"/>
      </w:divBdr>
    </w:div>
    <w:div w:id="1823347083">
      <w:bodyDiv w:val="1"/>
      <w:marLeft w:val="0"/>
      <w:marRight w:val="0"/>
      <w:marTop w:val="0"/>
      <w:marBottom w:val="0"/>
      <w:divBdr>
        <w:top w:val="none" w:sz="0" w:space="0" w:color="auto"/>
        <w:left w:val="none" w:sz="0" w:space="0" w:color="auto"/>
        <w:bottom w:val="none" w:sz="0" w:space="0" w:color="auto"/>
        <w:right w:val="none" w:sz="0" w:space="0" w:color="auto"/>
      </w:divBdr>
      <w:divsChild>
        <w:div w:id="1545096801">
          <w:marLeft w:val="0"/>
          <w:marRight w:val="0"/>
          <w:marTop w:val="0"/>
          <w:marBottom w:val="0"/>
          <w:divBdr>
            <w:top w:val="none" w:sz="0" w:space="0" w:color="auto"/>
            <w:left w:val="none" w:sz="0" w:space="0" w:color="auto"/>
            <w:bottom w:val="none" w:sz="0" w:space="0" w:color="auto"/>
            <w:right w:val="none" w:sz="0" w:space="0" w:color="auto"/>
          </w:divBdr>
          <w:divsChild>
            <w:div w:id="541593797">
              <w:marLeft w:val="0"/>
              <w:marRight w:val="0"/>
              <w:marTop w:val="0"/>
              <w:marBottom w:val="0"/>
              <w:divBdr>
                <w:top w:val="none" w:sz="0" w:space="0" w:color="auto"/>
                <w:left w:val="none" w:sz="0" w:space="0" w:color="auto"/>
                <w:bottom w:val="none" w:sz="0" w:space="0" w:color="auto"/>
                <w:right w:val="none" w:sz="0" w:space="0" w:color="auto"/>
              </w:divBdr>
              <w:divsChild>
                <w:div w:id="155958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402854">
      <w:bodyDiv w:val="1"/>
      <w:marLeft w:val="0"/>
      <w:marRight w:val="0"/>
      <w:marTop w:val="0"/>
      <w:marBottom w:val="0"/>
      <w:divBdr>
        <w:top w:val="none" w:sz="0" w:space="0" w:color="auto"/>
        <w:left w:val="none" w:sz="0" w:space="0" w:color="auto"/>
        <w:bottom w:val="none" w:sz="0" w:space="0" w:color="auto"/>
        <w:right w:val="none" w:sz="0" w:space="0" w:color="auto"/>
      </w:divBdr>
    </w:div>
    <w:div w:id="1936982836">
      <w:bodyDiv w:val="1"/>
      <w:marLeft w:val="0"/>
      <w:marRight w:val="0"/>
      <w:marTop w:val="0"/>
      <w:marBottom w:val="0"/>
      <w:divBdr>
        <w:top w:val="none" w:sz="0" w:space="0" w:color="auto"/>
        <w:left w:val="none" w:sz="0" w:space="0" w:color="auto"/>
        <w:bottom w:val="none" w:sz="0" w:space="0" w:color="auto"/>
        <w:right w:val="none" w:sz="0" w:space="0" w:color="auto"/>
      </w:divBdr>
      <w:divsChild>
        <w:div w:id="10614403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498571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zzettaufficiale.it/eli/gu/2018/10/26/250/so/50/sg/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933D01-4933-4C86-9D9B-D0828ABB5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941</Words>
  <Characters>5365</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6294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Armando Bertolino</dc:creator>
  <cp:keywords/>
  <dc:description/>
  <cp:lastModifiedBy>Maura Ballatore</cp:lastModifiedBy>
  <cp:revision>2</cp:revision>
  <dcterms:created xsi:type="dcterms:W3CDTF">2021-09-13T16:03:00Z</dcterms:created>
  <dcterms:modified xsi:type="dcterms:W3CDTF">2021-09-13T16:03:00Z</dcterms:modified>
</cp:coreProperties>
</file>